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31C7" w14:textId="77777777" w:rsidR="004E6BFE" w:rsidRDefault="002E0291" w:rsidP="00C77EA3">
      <w:pPr>
        <w:pStyle w:val="DisclaimerText"/>
      </w:pPr>
      <w:bookmarkStart w:id="0" w:name="_GoBack"/>
      <w:bookmarkEnd w:id="0"/>
      <w:r>
        <w:rPr>
          <w:noProof/>
          <w:lang w:eastAsia="en-AU"/>
        </w:rPr>
        <w:drawing>
          <wp:anchor distT="0" distB="0" distL="114300" distR="114300" simplePos="0" relativeHeight="251616768"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14F9B878" w:rsidR="004E6BFE" w:rsidRDefault="004E6BFE" w:rsidP="00C77EA3">
      <w:pPr>
        <w:pStyle w:val="BODYTEXTELAA"/>
      </w:pPr>
      <w:r>
        <w:t>This policy provides guidelines</w:t>
      </w:r>
      <w:r w:rsidR="001070B3">
        <w:t xml:space="preserve"> </w:t>
      </w:r>
      <w:r>
        <w:t xml:space="preserve">for </w:t>
      </w:r>
      <w:sdt>
        <w:sdt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EndPr/>
        <w:sdtContent>
          <w:r w:rsidR="00DE5245">
            <w:t>Flinders Preschool Inc.</w:t>
          </w:r>
        </w:sdtContent>
      </w:sdt>
      <w:r>
        <w:t xml:space="preserve"> to</w:t>
      </w:r>
      <w:r w:rsidR="001070B3">
        <w:t xml:space="preserve"> ensure that</w:t>
      </w:r>
      <w:r>
        <w:t xml:space="preserve">: </w:t>
      </w:r>
    </w:p>
    <w:p w14:paraId="65D737CB" w14:textId="6DDEBF94" w:rsidR="00942935" w:rsidRDefault="00942935" w:rsidP="00C77EA3">
      <w:pPr>
        <w:pStyle w:val="BodyTextBullet1"/>
      </w:pPr>
      <w:r>
        <w:t>clear procedures exist to support the safety, health, wellbeing and inclusion of all children enrolled at the service</w:t>
      </w:r>
    </w:p>
    <w:p w14:paraId="644DCE92" w14:textId="0AEB6C0A" w:rsidR="003D5467" w:rsidRDefault="00942935" w:rsidP="00C77EA3">
      <w:pPr>
        <w:pStyle w:val="BodyTextBullet1"/>
      </w:pPr>
      <w:r>
        <w:t xml:space="preserve">service practices support the enrolment of children and families with specific health care requirements </w:t>
      </w:r>
    </w:p>
    <w:p w14:paraId="58FB301C" w14:textId="0A9BDCAC" w:rsidR="00731330" w:rsidRDefault="00731330" w:rsidP="00C77EA3">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073CF834" w:rsidR="00D8724A" w:rsidRDefault="00D8724A" w:rsidP="00C77EA3">
      <w:pPr>
        <w:pStyle w:val="BodyTextBullet1"/>
      </w:pPr>
      <w:r>
        <w:t>requirements for medical management plan</w:t>
      </w:r>
      <w:r w:rsidR="001242E4">
        <w:t>s are provided</w:t>
      </w:r>
      <w:r w:rsidR="00BC50CF">
        <w:t xml:space="preserve"> by </w:t>
      </w:r>
      <w:r w:rsidR="001242E4">
        <w:t>parents</w:t>
      </w:r>
      <w:r w:rsidR="009E17A3">
        <w:t>/guardians</w:t>
      </w:r>
      <w:r w:rsidR="001242E4">
        <w:t xml:space="preserve"> </w:t>
      </w:r>
      <w:r w:rsidR="00BC50CF">
        <w:t>for the</w:t>
      </w:r>
      <w:r w:rsidR="00502C4B">
        <w:t xml:space="preserve"> </w:t>
      </w:r>
      <w:r w:rsidR="00BC50CF">
        <w:t>child</w:t>
      </w:r>
      <w:r w:rsidR="00BC50CF" w:rsidRPr="001242E4">
        <w:t xml:space="preserve"> </w:t>
      </w:r>
    </w:p>
    <w:p w14:paraId="7D83B1A5" w14:textId="3FF35D48" w:rsidR="00D8724A" w:rsidRDefault="00D8724A" w:rsidP="00C77EA3">
      <w:pPr>
        <w:pStyle w:val="BodyTextBullet1"/>
      </w:pPr>
      <w:r>
        <w:t>risk-minimisation</w:t>
      </w:r>
      <w:r w:rsidR="00D01B51">
        <w:t xml:space="preserve"> </w:t>
      </w:r>
      <w:r>
        <w:t xml:space="preserve">and communication plan </w:t>
      </w:r>
      <w:r w:rsidR="009E17A3">
        <w:t>are developed in conjunction with</w:t>
      </w:r>
      <w:r>
        <w:t xml:space="preserve"> </w:t>
      </w:r>
      <w:sdt>
        <w:sdt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EndPr/>
        <w:sdtContent>
          <w:r w:rsidR="00DE5245">
            <w:t>Flinders Preschool Inc.</w:t>
          </w:r>
        </w:sdtContent>
      </w:sdt>
      <w:r w:rsidR="00895FFB">
        <w:t>.</w:t>
      </w:r>
      <w:r w:rsidR="00502C4B" w:rsidRPr="00502C4B">
        <w:t xml:space="preserve"> </w:t>
      </w:r>
      <w:r w:rsidR="00D01B51">
        <w:t xml:space="preserve">and </w:t>
      </w:r>
      <w:r w:rsidR="00C15976">
        <w:t>parents/guardians.</w:t>
      </w:r>
    </w:p>
    <w:p w14:paraId="21F744F8" w14:textId="77777777" w:rsidR="001070B3" w:rsidRDefault="001070B3" w:rsidP="00C77EA3">
      <w:pPr>
        <w:pStyle w:val="BODYTEXTELAA"/>
      </w:pPr>
    </w:p>
    <w:p w14:paraId="17FAAD5B"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44416"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461120"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85CD05" id="Straight Connector 7" o:spid="_x0000_s1026" style="position:absolute;flip:y;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54AF7930" w:rsidR="001255E7" w:rsidRPr="001255E7" w:rsidRDefault="004602C6" w:rsidP="00C77EA3">
      <w:pPr>
        <w:pStyle w:val="BODYTEXTELAA"/>
      </w:pPr>
      <w:sdt>
        <w:sdt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EndPr/>
        <w:sdtContent>
          <w:r w:rsidR="00DE5245">
            <w:t>Flinders Preschool Inc.</w:t>
          </w:r>
        </w:sdtContent>
      </w:sdt>
      <w:r w:rsidR="00B76BD1">
        <w:t xml:space="preserve"> </w:t>
      </w:r>
      <w:r w:rsidR="007465BC" w:rsidRPr="007465BC">
        <w:t>is committed to recognising the importance of providing a safe environment for children</w:t>
      </w:r>
      <w:r w:rsidR="00B361FE">
        <w:t xml:space="preserve"> </w:t>
      </w:r>
      <w:r w:rsidR="007465BC" w:rsidRPr="007465BC">
        <w:t>with specific medical and health care requirements</w:t>
      </w:r>
      <w:r w:rsidR="001255E7" w:rsidRPr="001255E7">
        <w:t>. This will be achieved through:</w:t>
      </w:r>
    </w:p>
    <w:p w14:paraId="660B6D7B" w14:textId="3091E229" w:rsidR="001255E7" w:rsidRPr="001255E7" w:rsidRDefault="001255E7" w:rsidP="00C77EA3">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[Service Name] are protected from harm</w:t>
      </w:r>
    </w:p>
    <w:p w14:paraId="5F73EA5D" w14:textId="37CB8E99" w:rsidR="001255E7" w:rsidRPr="001255E7" w:rsidRDefault="001255E7" w:rsidP="00C77EA3">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service</w:t>
      </w:r>
    </w:p>
    <w:p w14:paraId="268356FF" w14:textId="261F2EBB" w:rsidR="00B76BD1" w:rsidRDefault="001255E7" w:rsidP="00C77EA3">
      <w:pPr>
        <w:pStyle w:val="BodyTextBullet1"/>
        <w:rPr>
          <w:caps/>
        </w:rPr>
      </w:pPr>
      <w:r>
        <w:t xml:space="preserve">ensuring that educators have the skills and expertise necessary to support the inclusion of children with </w:t>
      </w:r>
      <w:r w:rsidR="00694614">
        <w:t>specific health care needs, allergy or relevant condition</w:t>
      </w:r>
      <w:r>
        <w:t>s.</w:t>
      </w:r>
    </w:p>
    <w:p w14:paraId="2472A1C1" w14:textId="7301C8DA" w:rsidR="00A95F87" w:rsidRDefault="00A95F87" w:rsidP="001255E7">
      <w:pPr>
        <w:pStyle w:val="Heading2"/>
      </w:pPr>
      <w:r>
        <w:t>Scope</w:t>
      </w:r>
    </w:p>
    <w:p w14:paraId="5CB4390F" w14:textId="6AFBF6B0" w:rsidR="009D1539" w:rsidRDefault="009D1539" w:rsidP="00C77EA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EndPr/>
        <w:sdtContent>
          <w:r w:rsidR="00DE5245">
            <w:t>Flinders Preschool Inc.</w:t>
          </w:r>
        </w:sdtContent>
      </w:sdt>
      <w:r w:rsidRPr="009D1539">
        <w:t>, including during offsite excursions and activities.</w:t>
      </w:r>
    </w:p>
    <w:p w14:paraId="35411D01" w14:textId="23748738" w:rsidR="00527326" w:rsidRDefault="00527326" w:rsidP="00C77EA3">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C77EA3">
      <w:pPr>
        <w:pStyle w:val="BodyTextBullet1"/>
      </w:pPr>
      <w:r>
        <w:t>Anaphylaxis</w:t>
      </w:r>
      <w:r w:rsidR="00BD2747">
        <w:t xml:space="preserve"> and Allergic Reactions</w:t>
      </w:r>
    </w:p>
    <w:p w14:paraId="5EFDC81A" w14:textId="03B372E0" w:rsidR="00527326" w:rsidRDefault="00527326" w:rsidP="00C77EA3">
      <w:pPr>
        <w:pStyle w:val="BodyTextBullet1"/>
      </w:pPr>
      <w:r>
        <w:t>Asthma</w:t>
      </w:r>
    </w:p>
    <w:p w14:paraId="48F26749" w14:textId="47DE0CFE" w:rsidR="00527326" w:rsidRDefault="00527326" w:rsidP="00C77EA3">
      <w:pPr>
        <w:pStyle w:val="BodyTextBullet1"/>
      </w:pPr>
      <w:r>
        <w:t>Diabetes</w:t>
      </w:r>
    </w:p>
    <w:p w14:paraId="6010B044" w14:textId="59B3ACE6" w:rsidR="00527326" w:rsidRDefault="00527326" w:rsidP="00C77EA3">
      <w:pPr>
        <w:pStyle w:val="BodyTextBullet1"/>
      </w:pPr>
      <w:r>
        <w:t>Epilepsy</w:t>
      </w:r>
    </w:p>
    <w:p w14:paraId="1088A8E3" w14:textId="695E8A84" w:rsidR="006540D2" w:rsidRDefault="006540D2" w:rsidP="00716C94">
      <w:pPr>
        <w:ind w:left="1276"/>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DA50F1" w:rsidRDefault="005376E1" w:rsidP="009212A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24001732" w14:textId="77777777" w:rsidR="005376E1" w:rsidRDefault="005376E1" w:rsidP="00C77EA3">
            <w:pPr>
              <w:pStyle w:val="GreenTableHeadings"/>
              <w:framePr w:hSpace="0" w:wrap="auto" w:vAnchor="margin" w:hAnchor="text" w:xAlign="left" w:yAlign="inline"/>
            </w:pPr>
            <w:bookmarkStart w:id="1" w:name="_Hlk70089029"/>
            <w:r>
              <w:t>Approved provider and persons with management or control</w:t>
            </w:r>
            <w:bookmarkEnd w:id="1"/>
          </w:p>
        </w:tc>
        <w:tc>
          <w:tcPr>
            <w:tcW w:w="708" w:type="dxa"/>
            <w:shd w:val="clear" w:color="auto" w:fill="F3F9BF"/>
            <w:textDirection w:val="tbRl"/>
            <w:hideMark/>
          </w:tcPr>
          <w:p w14:paraId="3286A13F" w14:textId="3E0EC60A" w:rsidR="005376E1" w:rsidRDefault="005376E1" w:rsidP="00C77EA3">
            <w:pPr>
              <w:pStyle w:val="GreenTableHeadings"/>
              <w:framePr w:hSpace="0" w:wrap="auto" w:vAnchor="margin" w:hAnchor="text" w:xAlign="left" w:yAlign="inline"/>
            </w:pPr>
            <w:bookmarkStart w:id="2" w:name="_Hlk70088991"/>
            <w:r>
              <w:t>Nominated supervisor and persons in day-to-day charge</w:t>
            </w:r>
            <w:bookmarkEnd w:id="2"/>
          </w:p>
        </w:tc>
        <w:tc>
          <w:tcPr>
            <w:tcW w:w="683" w:type="dxa"/>
            <w:shd w:val="clear" w:color="auto" w:fill="ECF593"/>
            <w:textDirection w:val="tbRl"/>
            <w:hideMark/>
          </w:tcPr>
          <w:p w14:paraId="71E4BDAF" w14:textId="47A6FD84" w:rsidR="005376E1" w:rsidRDefault="005376E1" w:rsidP="00C77EA3">
            <w:pPr>
              <w:pStyle w:val="GreenTableHeadings"/>
              <w:framePr w:hSpace="0" w:wrap="auto" w:vAnchor="margin" w:hAnchor="text" w:xAlign="left" w:yAlign="inline"/>
            </w:pPr>
            <w:bookmarkStart w:id="3" w:name="_Hlk70088959"/>
            <w:r>
              <w:t>Early childhood teacher, educators and all other staff</w:t>
            </w:r>
            <w:bookmarkEnd w:id="3"/>
          </w:p>
        </w:tc>
        <w:tc>
          <w:tcPr>
            <w:tcW w:w="593" w:type="dxa"/>
            <w:shd w:val="clear" w:color="auto" w:fill="E6F272"/>
            <w:textDirection w:val="tbRl"/>
            <w:hideMark/>
          </w:tcPr>
          <w:p w14:paraId="6F4DCD92" w14:textId="7596F8AE" w:rsidR="005376E1" w:rsidRDefault="005376E1" w:rsidP="00C77EA3">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16D44291" w14:textId="762D5B82" w:rsidR="005376E1" w:rsidRDefault="005376E1" w:rsidP="00C77EA3">
            <w:pPr>
              <w:pStyle w:val="GreenTableHeadings"/>
              <w:framePr w:hSpace="0" w:wrap="auto" w:vAnchor="margin" w:hAnchor="text" w:xAlign="left" w:yAlign="inline"/>
            </w:pPr>
            <w:bookmarkStart w:id="5" w:name="_Hlk70088905"/>
            <w:r>
              <w:t>Contractors, volunteers and students</w:t>
            </w:r>
            <w:bookmarkEnd w:id="5"/>
          </w:p>
        </w:tc>
      </w:tr>
      <w:tr w:rsidR="007112A9"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C77EA3">
            <w:pPr>
              <w:pStyle w:val="BODYTEXTELAA"/>
            </w:pPr>
            <w:r w:rsidRPr="00EB061C">
              <w:rPr>
                <w:b/>
                <w:bCs/>
              </w:rPr>
              <w:t>R</w:t>
            </w:r>
            <w:r w:rsidRPr="00EB061C">
              <w:t xml:space="preserve"> indicates legislation requirement, and should not be deleted</w:t>
            </w:r>
          </w:p>
        </w:tc>
      </w:tr>
      <w:tr w:rsidR="00C77EA3"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1A9FD9C8" w:rsidR="00C77EA3" w:rsidRDefault="00C77EA3" w:rsidP="00C77EA3">
            <w:r>
              <w:t>E</w:t>
            </w:r>
            <w:r w:rsidRPr="00131B69">
              <w:t>nsuring that parents/guardians who are enrolling a child with specific health care needs are provided with a copy of this and other relevant service policies</w:t>
            </w:r>
            <w:r>
              <w:t xml:space="preserve"> </w:t>
            </w:r>
            <w:r w:rsidRPr="0061016B">
              <w:rPr>
                <w:rStyle w:val="RegulationLawChar"/>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FA1DB1" w:rsidRDefault="00C77EA3"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8A67BF" w:rsidRDefault="00F215F8"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E07061F" w:rsidR="00C77EA3" w:rsidRPr="008A67BF" w:rsidRDefault="00C77EA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8A67BF" w:rsidRDefault="00C77EA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8A67BF" w:rsidRDefault="00C77EA3" w:rsidP="008A67BF">
            <w:pPr>
              <w:jc w:val="center"/>
            </w:pPr>
          </w:p>
        </w:tc>
      </w:tr>
      <w:tr w:rsidR="001E3648"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54F7A38A" w:rsidR="00087995" w:rsidRDefault="439F53E3" w:rsidP="00087995">
            <w:r>
              <w:t xml:space="preserve">Ensuring families provide information on their child’s health, medications, allergies, their </w:t>
            </w:r>
            <w:r w:rsidR="00FB1D89" w:rsidRPr="00FB1D89">
              <w:rPr>
                <w:highlight w:val="yellow"/>
              </w:rPr>
              <w:t>registered</w:t>
            </w:r>
            <w:r w:rsidR="00FB1D89">
              <w:t xml:space="preserve"> </w:t>
            </w:r>
            <w:r>
              <w:t>medical practitioner’s name, address and phone number, emergency contact names and phone numbers</w:t>
            </w:r>
            <w:r w:rsidR="00950863" w:rsidRPr="5512018C">
              <w:rPr>
                <w:rStyle w:val="RegulationLawChar"/>
              </w:rPr>
              <w:t xml:space="preserve"> </w:t>
            </w:r>
            <w:r w:rsidR="001B72B2" w:rsidRPr="5512018C">
              <w:rPr>
                <w:rStyle w:val="RegulationLawChar"/>
              </w:rPr>
              <w:t>(Regulations 162)</w:t>
            </w:r>
            <w: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FA1DB1" w:rsidRDefault="00EB061C"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7DBEF61F" w:rsidR="00087995" w:rsidRPr="008A67BF" w:rsidRDefault="00087995"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8A67BF" w:rsidRDefault="00087995" w:rsidP="008A67BF">
            <w:pPr>
              <w:jc w:val="center"/>
            </w:pPr>
          </w:p>
        </w:tc>
      </w:tr>
      <w:tr w:rsidR="009212A1"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Default="00BB0CA3" w:rsidP="00087995">
            <w:r w:rsidRPr="007112A9">
              <w:rPr>
                <w:highlight w:val="yellow"/>
              </w:rPr>
              <w:t>Ensuring families provide a medical management plan</w:t>
            </w:r>
            <w:r w:rsidR="00E31A64" w:rsidRPr="007112A9">
              <w:rPr>
                <w:highlight w:val="yellow"/>
              </w:rPr>
              <w:t xml:space="preserve"> (if </w:t>
            </w:r>
            <w:r w:rsidR="00E72182" w:rsidRPr="007112A9">
              <w:rPr>
                <w:highlight w:val="yellow"/>
              </w:rPr>
              <w:t>possible,</w:t>
            </w:r>
            <w:r w:rsidR="00E31A64" w:rsidRPr="007112A9">
              <w:rPr>
                <w:highlight w:val="yellow"/>
              </w:rPr>
              <w:t xml:space="preserve"> in </w:t>
            </w:r>
            <w:r w:rsidR="00E72182" w:rsidRPr="007112A9">
              <w:rPr>
                <w:highlight w:val="yellow"/>
              </w:rPr>
              <w:t>consultation</w:t>
            </w:r>
            <w:r w:rsidR="00E31A64" w:rsidRPr="007112A9">
              <w:rPr>
                <w:highlight w:val="yellow"/>
              </w:rPr>
              <w:t xml:space="preserve"> </w:t>
            </w:r>
            <w:r w:rsidRPr="007112A9">
              <w:rPr>
                <w:highlight w:val="yellow"/>
              </w:rPr>
              <w:t xml:space="preserve">their </w:t>
            </w:r>
            <w:r w:rsidR="003D09E0" w:rsidRPr="007112A9">
              <w:rPr>
                <w:highlight w:val="yellow"/>
              </w:rPr>
              <w:t xml:space="preserve">registered </w:t>
            </w:r>
            <w:r w:rsidRPr="007112A9">
              <w:rPr>
                <w:highlight w:val="yellow"/>
              </w:rPr>
              <w:t>medical practitioner</w:t>
            </w:r>
            <w:r w:rsidR="00E72182" w:rsidRPr="007112A9">
              <w:rPr>
                <w:highlight w:val="yellow"/>
              </w:rPr>
              <w:t>)</w:t>
            </w:r>
            <w:r w:rsidRPr="007112A9">
              <w:rPr>
                <w:highlight w:val="yellow"/>
              </w:rPr>
              <w:t xml:space="preserve">, following enrolment and prior to the child commencing at the service </w:t>
            </w:r>
            <w:r w:rsidRPr="007112A9">
              <w:rPr>
                <w:rStyle w:val="RegulationLawChar"/>
                <w:highlight w:val="yellow"/>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FA1DB1" w:rsidRDefault="00E72182"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77777777" w:rsidR="00FE4F2F" w:rsidRPr="008A67BF" w:rsidRDefault="00FE4F2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8A67BF" w:rsidRDefault="00FE4F2F" w:rsidP="008A67BF">
            <w:pPr>
              <w:jc w:val="center"/>
            </w:pPr>
          </w:p>
        </w:tc>
      </w:tr>
      <w:tr w:rsidR="001E3648"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Default="244C037D" w:rsidP="00DE4357">
            <w:r>
              <w:t xml:space="preserve">Ensuring that a risk minimisation plan </w:t>
            </w:r>
            <w:r w:rsidRPr="5940D122">
              <w:rPr>
                <w:rStyle w:val="RefertoSourceDefinitionsAttachmentChar"/>
              </w:rPr>
              <w:t xml:space="preserve">(refer to Definitions) </w:t>
            </w:r>
            <w:r>
              <w:t xml:space="preserve">is developed in consultation with </w:t>
            </w:r>
            <w:r w:rsidR="00FB1D89">
              <w:t>families</w:t>
            </w:r>
            <w:r>
              <w:t xml:space="preserve">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8A67BF" w:rsidRDefault="00DE4357" w:rsidP="008A67BF">
            <w:pPr>
              <w:jc w:val="center"/>
            </w:pPr>
          </w:p>
        </w:tc>
      </w:tr>
      <w:tr w:rsidR="001E3648"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Default="244C037D" w:rsidP="00DE4357">
            <w:r>
              <w:t xml:space="preserve">Developing and implementing a communication plan </w:t>
            </w:r>
            <w:r w:rsidRPr="5940D122">
              <w:rPr>
                <w:rStyle w:val="RefertoSourceDefinitionsAttachmentChar"/>
              </w:rPr>
              <w:t>(refer to Definitions)</w:t>
            </w:r>
            <w:r>
              <w:t xml:space="preserve"> and encouraging ongoing communication between </w:t>
            </w:r>
            <w:r w:rsidR="00BE4972">
              <w:t>families</w:t>
            </w:r>
            <w:r>
              <w:t xml:space="preserve"> and staff regarding the current status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8A67BF" w:rsidRDefault="00DE4357" w:rsidP="008A67BF">
            <w:pPr>
              <w:jc w:val="center"/>
            </w:pPr>
          </w:p>
        </w:tc>
      </w:tr>
      <w:tr w:rsidR="001E3648"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6F4F168D" w:rsidR="00FB652C" w:rsidRDefault="00FB652C" w:rsidP="00FB652C">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w:t>
            </w:r>
            <w:r w:rsidR="00BE4972">
              <w:t>families</w:t>
            </w:r>
            <w:r>
              <w:t xml:space="preserve">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8A67BF" w:rsidRDefault="00FB652C" w:rsidP="008A67BF">
            <w:pPr>
              <w:jc w:val="center"/>
            </w:pPr>
          </w:p>
        </w:tc>
      </w:tr>
      <w:tr w:rsidR="001E3648"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986CE1" w:rsidRDefault="003047CF" w:rsidP="003047CF">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8A67BF" w:rsidRDefault="003047CF"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8A67BF" w:rsidRDefault="003047CF" w:rsidP="008A67BF">
            <w:pPr>
              <w:jc w:val="center"/>
            </w:pPr>
            <w:r w:rsidRPr="008A67BF">
              <w:sym w:font="Symbol" w:char="F0D6"/>
            </w:r>
          </w:p>
        </w:tc>
      </w:tr>
      <w:tr w:rsidR="001E3648"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Default="003047CF" w:rsidP="003047CF">
            <w:r w:rsidRPr="008E27B4">
              <w:lastRenderedPageBreak/>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8A67BF" w:rsidRDefault="003047CF" w:rsidP="008A67BF">
            <w:pPr>
              <w:jc w:val="center"/>
            </w:pPr>
          </w:p>
        </w:tc>
      </w:tr>
      <w:tr w:rsidR="001E3648"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Default="003047CF" w:rsidP="00C77EA3">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management of specific procedures that are required to be 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8A67BF" w:rsidRDefault="003047CF" w:rsidP="008A67BF">
            <w:pPr>
              <w:jc w:val="center"/>
            </w:pPr>
          </w:p>
        </w:tc>
      </w:tr>
      <w:tr w:rsidR="001E3648"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C77EA3">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8A67BF" w:rsidRDefault="00FB652C" w:rsidP="008A67BF">
            <w:pPr>
              <w:jc w:val="center"/>
            </w:pPr>
          </w:p>
        </w:tc>
      </w:tr>
      <w:tr w:rsidR="001E3648"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4639D6" w:rsidRDefault="003047CF" w:rsidP="003047CF">
            <w:r>
              <w:t xml:space="preserve">Ensuring that </w:t>
            </w:r>
            <w:r w:rsidRPr="00B92F32">
              <w:t>if a child is diagnosed as being at risk of anaphylaxis, ensure that a notice is displayed in a position visible</w:t>
            </w:r>
            <w:r>
              <w:t xml:space="preserve"> </w:t>
            </w:r>
            <w:r w:rsidRPr="00B92F32">
              <w:t>from the main entrance to inform families and visitors to the service</w:t>
            </w:r>
            <w:r>
              <w:t xml:space="preserve"> </w:t>
            </w:r>
            <w:r w:rsidRPr="007323A3">
              <w:rPr>
                <w:rStyle w:val="PolicyNameChar"/>
              </w:rPr>
              <w:t>(refer to Anaphylaxis</w:t>
            </w:r>
            <w:r>
              <w:rPr>
                <w:rStyle w:val="PolicyNameChar"/>
              </w:rPr>
              <w:t xml:space="preserve"> and Allergic Reactions</w:t>
            </w:r>
            <w:r w:rsidRPr="007323A3">
              <w:rPr>
                <w:rStyle w:val="PolicyNameChar"/>
              </w:rPr>
              <w:t xml:space="preserve"> </w:t>
            </w:r>
            <w:r>
              <w:rPr>
                <w:rStyle w:val="PolicyNameChar"/>
              </w:rPr>
              <w:t>P</w:t>
            </w:r>
            <w:r w:rsidRPr="007323A3">
              <w:rPr>
                <w:rStyle w:val="PolicyNameChar"/>
              </w:rPr>
              <w:t xml:space="preserve">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8A67BF" w:rsidRDefault="003047CF" w:rsidP="008A67BF">
            <w:pPr>
              <w:jc w:val="center"/>
            </w:pPr>
          </w:p>
        </w:tc>
      </w:tr>
      <w:tr w:rsidR="001E3648"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Default="003047CF" w:rsidP="003047CF">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8A67BF" w:rsidRDefault="003047CF" w:rsidP="008A67BF">
            <w:pPr>
              <w:jc w:val="center"/>
            </w:pPr>
            <w:r w:rsidRPr="008A67BF">
              <w:sym w:font="Symbol" w:char="F0D6"/>
            </w:r>
          </w:p>
        </w:tc>
      </w:tr>
      <w:tr w:rsidR="001E3648"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C77EA3">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8A67BF" w:rsidRDefault="00FB652C" w:rsidP="008A67BF">
            <w:pPr>
              <w:jc w:val="center"/>
            </w:pPr>
            <w:r w:rsidRPr="008A67BF">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8A67BF" w:rsidRDefault="00FB652C" w:rsidP="008A67BF">
            <w:pPr>
              <w:jc w:val="center"/>
            </w:pPr>
          </w:p>
        </w:tc>
      </w:tr>
      <w:tr w:rsidR="001E3648"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7066AC" w:rsidRDefault="003047CF" w:rsidP="00C77EA3">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FA1DB1" w:rsidRDefault="003047CF" w:rsidP="008A67BF">
            <w:pPr>
              <w:jc w:val="center"/>
            </w:pPr>
            <w:r w:rsidRPr="00FA1DB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8A67BF" w:rsidRDefault="003047CF" w:rsidP="008A67BF">
            <w:pPr>
              <w:jc w:val="center"/>
            </w:pPr>
          </w:p>
        </w:tc>
      </w:tr>
      <w:tr w:rsidR="001E3648"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7066AC" w:rsidRDefault="003047CF" w:rsidP="00C77EA3">
            <w:r>
              <w:t>M</w:t>
            </w:r>
            <w:r w:rsidRPr="00760DBB">
              <w:t xml:space="preserve">aintaining ongoing communication between </w:t>
            </w:r>
            <w:r>
              <w:t>ECT/</w:t>
            </w:r>
            <w:r w:rsidRPr="00760DBB">
              <w:t xml:space="preserve">educators/staff and </w:t>
            </w:r>
            <w:r w:rsidR="00D80313">
              <w:t>families</w:t>
            </w:r>
            <w:r w:rsidRPr="00760DBB">
              <w:t xml:space="preserve">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8A67BF" w:rsidRDefault="003047CF" w:rsidP="008A67BF">
            <w:pPr>
              <w:jc w:val="center"/>
            </w:pPr>
          </w:p>
        </w:tc>
      </w:tr>
      <w:tr w:rsidR="001E3648"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Default="003047CF" w:rsidP="00C77EA3">
            <w:r>
              <w:t>F</w:t>
            </w:r>
            <w:r w:rsidRPr="00131B69">
              <w:t xml:space="preserve">ollowing appropriate reporting procedures set out in the </w:t>
            </w:r>
            <w:r w:rsidRPr="008E27B4">
              <w:rPr>
                <w:rStyle w:val="PolicyNameChar"/>
              </w:rPr>
              <w:t>Incident, Injury, Trauma and Illness Policy</w:t>
            </w:r>
            <w:r w:rsidRPr="00131B69">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8A67BF" w:rsidRDefault="003047CF" w:rsidP="008A67BF">
            <w:pPr>
              <w:jc w:val="center"/>
            </w:pPr>
            <w:r w:rsidRPr="008A67BF">
              <w:sym w:font="Symbol" w:char="F0D6"/>
            </w:r>
          </w:p>
        </w:tc>
      </w:tr>
      <w:tr w:rsidR="001E3648"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Default="003047CF" w:rsidP="00C77EA3">
            <w:r>
              <w:t>Ensuring that the Ambulance V</w:t>
            </w:r>
            <w:r>
              <w:rPr>
                <w:rStyle w:val="CommentReference"/>
              </w:rPr>
              <w:t>i</w:t>
            </w:r>
            <w:r>
              <w:t xml:space="preserve">ctoria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8A67BF" w:rsidRDefault="003047CF" w:rsidP="008A67BF">
            <w:pPr>
              <w:jc w:val="center"/>
            </w:pPr>
          </w:p>
        </w:tc>
      </w:tr>
      <w:tr w:rsidR="001E3648"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Default="003047CF" w:rsidP="00C77EA3">
            <w: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8A67BF" w:rsidRDefault="003047CF" w:rsidP="008A67BF">
            <w:pPr>
              <w:jc w:val="center"/>
            </w:pPr>
            <w:r w:rsidRPr="008A67BF">
              <w:sym w:font="Symbol" w:char="F0D6"/>
            </w:r>
          </w:p>
        </w:tc>
      </w:tr>
      <w:tr w:rsidR="001E3648"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Default="003047CF" w:rsidP="00C77EA3">
            <w:r>
              <w:lastRenderedPageBreak/>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8A67BF" w:rsidRDefault="003047CF" w:rsidP="008A67BF">
            <w:pPr>
              <w:jc w:val="center"/>
            </w:pPr>
            <w:r w:rsidRPr="008A67BF">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8A67BF" w:rsidRDefault="003047CF" w:rsidP="008A67BF">
            <w:pPr>
              <w:jc w:val="center"/>
            </w:pPr>
            <w:r w:rsidRPr="008A67BF">
              <w:sym w:font="Symbol" w:char="F0D6"/>
            </w:r>
          </w:p>
        </w:tc>
      </w:tr>
      <w:tr w:rsidR="001E3648"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Default="003047CF" w:rsidP="00C77EA3">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8A67BF" w:rsidRDefault="003047CF" w:rsidP="008A67BF">
            <w:pPr>
              <w:jc w:val="center"/>
            </w:pPr>
          </w:p>
        </w:tc>
      </w:tr>
    </w:tbl>
    <w:p w14:paraId="06451F5E" w14:textId="4E9836A7" w:rsidR="003E57FD" w:rsidRDefault="003E57FD" w:rsidP="00C77EA3">
      <w:pPr>
        <w:pStyle w:val="BODYTEXTELAA"/>
      </w:pPr>
    </w:p>
    <w:p w14:paraId="4F09C4FB" w14:textId="47B1253B" w:rsidR="00F359D9" w:rsidRDefault="00837E87" w:rsidP="00C77EA3">
      <w:pPr>
        <w:pStyle w:val="BODYTEXTELAA"/>
      </w:pPr>
      <w:r>
        <w:rPr>
          <w:noProof/>
          <w:lang w:eastAsia="en-AU"/>
        </w:rPr>
        <w:drawing>
          <wp:anchor distT="0" distB="0" distL="114300" distR="114300" simplePos="0" relativeHeight="251876864"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Default="00DF5B83" w:rsidP="007343F6">
      <w:pPr>
        <w:pStyle w:val="BackgroundandLegislation"/>
      </w:pPr>
      <w:r>
        <w:rPr>
          <w:noProof/>
          <w:lang w:eastAsia="en-AU"/>
        </w:rPr>
        <w:drawing>
          <wp:anchor distT="0" distB="0" distL="114300" distR="114300" simplePos="0" relativeHeight="251670016"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C77EA3">
      <w:pPr>
        <w:pStyle w:val="BODYTEXTELAA"/>
      </w:pPr>
      <w:r>
        <w:t>An approved service must have a policy for managing medical conditions that includes the practices to be followed:</w:t>
      </w:r>
    </w:p>
    <w:p w14:paraId="01DDA46E" w14:textId="341DBD87" w:rsidR="00444BDA" w:rsidRDefault="00444BDA" w:rsidP="00C77EA3">
      <w:pPr>
        <w:pStyle w:val="BodyTextBullet1"/>
      </w:pPr>
      <w:r>
        <w:t xml:space="preserve">in the management of medical conditions </w:t>
      </w:r>
    </w:p>
    <w:p w14:paraId="2EF9C9F5" w14:textId="1B5CEF81" w:rsidR="00444BDA" w:rsidRDefault="00444BDA" w:rsidP="00C77EA3">
      <w:pPr>
        <w:pStyle w:val="BodyTextBullet1"/>
      </w:pPr>
      <w:r>
        <w:t>when parents are required to provide a medical management plan if an enrolled child has a specific health care need, allergy or relevant medical condition</w:t>
      </w:r>
    </w:p>
    <w:p w14:paraId="3FC5861C" w14:textId="0E5BB8E2" w:rsidR="00444BDA" w:rsidRDefault="00444BDA" w:rsidP="00C77EA3">
      <w:pPr>
        <w:pStyle w:val="BodyTextBullet1"/>
      </w:pPr>
      <w:r>
        <w:t>when developing a risk minimisation plan in consultation with the child’s parents/guardians</w:t>
      </w:r>
    </w:p>
    <w:p w14:paraId="17B6C34E" w14:textId="1935F23C" w:rsidR="00444BDA" w:rsidRDefault="00444BDA" w:rsidP="00C77EA3">
      <w:pPr>
        <w:pStyle w:val="BodyTextBullet1"/>
      </w:pPr>
      <w:r>
        <w:t>when developing a communication plan for staff members and parents/guardians.</w:t>
      </w:r>
    </w:p>
    <w:p w14:paraId="596F46B9" w14:textId="77777777" w:rsidR="00444BDA" w:rsidRDefault="00444BDA" w:rsidP="00C77EA3">
      <w:pPr>
        <w:pStyle w:val="BODYTEXTELAA"/>
      </w:pPr>
      <w:r>
        <w:t>Staff members and volunteers must be informed about the practices to be followed. If a child enrolled at the service has a specific health care need, allergy or other relevant medical condition, parents/guardians must be provided with a copy of this and other relevant policies.</w:t>
      </w:r>
    </w:p>
    <w:p w14:paraId="1CF91AAD" w14:textId="77777777" w:rsidR="00444BDA" w:rsidRDefault="00444BDA" w:rsidP="00C77EA3">
      <w:pPr>
        <w:pStyle w:val="BODYTEXTELAA"/>
      </w:pPr>
      <w:r>
        <w:t>Medication and medical procedures can only be administered to a child:</w:t>
      </w:r>
    </w:p>
    <w:p w14:paraId="1B810ECE" w14:textId="566927EE" w:rsidR="00444BDA" w:rsidRDefault="00444BDA" w:rsidP="00C77EA3">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C77EA3">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C77EA3">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C77EA3">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C77EA3">
      <w:pPr>
        <w:pStyle w:val="BodyTextBullet1"/>
      </w:pPr>
      <w:r>
        <w:t>Staff may need additional information from a medical practitioner where the child requires:</w:t>
      </w:r>
    </w:p>
    <w:p w14:paraId="59F2973E" w14:textId="248A6C12" w:rsidR="00444BDA" w:rsidRDefault="00444BDA" w:rsidP="00C77EA3">
      <w:pPr>
        <w:pStyle w:val="BodyTextBullet1"/>
      </w:pPr>
      <w:r>
        <w:t>multiple medications simultaneously</w:t>
      </w:r>
    </w:p>
    <w:p w14:paraId="4AA0FB17" w14:textId="2F6AE2AB" w:rsidR="00444BDA" w:rsidRDefault="00444BDA" w:rsidP="00C77EA3">
      <w:pPr>
        <w:pStyle w:val="BodyTextBullet1"/>
      </w:pPr>
      <w:r>
        <w:t>a specific medical procedure to be followed.</w:t>
      </w:r>
    </w:p>
    <w:p w14:paraId="0E9860C0" w14:textId="147A2221" w:rsidR="00F359D9" w:rsidRDefault="00444BDA" w:rsidP="00C77EA3">
      <w:pPr>
        <w:pStyle w:val="BODYTEXTELAA"/>
      </w:pPr>
      <w:r>
        <w:t>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Parents/guardians and the service should liaise with either the child’s medical practitioner or other appropriate service providers to establish such an arrangement. Arrangements must be formalised following enrolment and prior to the child commencing at the service.</w:t>
      </w:r>
    </w:p>
    <w:p w14:paraId="1B1277B6" w14:textId="34383D99" w:rsidR="00444BDA" w:rsidRDefault="00444BDA" w:rsidP="00C77EA3">
      <w:pPr>
        <w:pStyle w:val="BODYTEXTELAA"/>
      </w:pPr>
    </w:p>
    <w:p w14:paraId="15161017" w14:textId="20DD0561" w:rsidR="00444BDA" w:rsidRDefault="00DB2600" w:rsidP="00C77EA3">
      <w:pPr>
        <w:pStyle w:val="BODYTEXTELAA"/>
      </w:pPr>
      <w:r>
        <w:rPr>
          <w:noProof/>
          <w:lang w:eastAsia="en-AU"/>
        </w:rPr>
        <w:lastRenderedPageBreak/>
        <mc:AlternateContent>
          <mc:Choice Requires="wps">
            <w:drawing>
              <wp:anchor distT="0" distB="0" distL="114300" distR="114300" simplePos="0" relativeHeight="251850240" behindDoc="0" locked="0" layoutInCell="1" allowOverlap="1" wp14:anchorId="7CB86FD1" wp14:editId="53D3D2CC">
                <wp:simplePos x="0" y="0"/>
                <wp:positionH relativeFrom="column">
                  <wp:posOffset>809625</wp:posOffset>
                </wp:positionH>
                <wp:positionV relativeFrom="paragraph">
                  <wp:posOffset>40005</wp:posOffset>
                </wp:positionV>
                <wp:extent cx="5346700" cy="3051958"/>
                <wp:effectExtent l="57150" t="57150" r="101600" b="110490"/>
                <wp:wrapNone/>
                <wp:docPr id="10" name="Rectangle 10"/>
                <wp:cNvGraphicFramePr/>
                <a:graphic xmlns:a="http://schemas.openxmlformats.org/drawingml/2006/main">
                  <a:graphicData uri="http://schemas.microsoft.com/office/word/2010/wordprocessingShape">
                    <wps:wsp>
                      <wps:cNvSpPr/>
                      <wps:spPr>
                        <a:xfrm>
                          <a:off x="0" y="0"/>
                          <a:ext cx="5346700" cy="3051958"/>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B86FD1" id="Rectangle 10" o:spid="_x0000_s1026" style="position:absolute;left:0;text-align:left;margin-left:63.75pt;margin-top:3.15pt;width:421pt;height:240.3pt;z-index:25185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v:textbox>
              </v:rect>
            </w:pict>
          </mc:Fallback>
        </mc:AlternateContent>
      </w:r>
    </w:p>
    <w:p w14:paraId="1162EFFF" w14:textId="197E16EB" w:rsidR="00837E87" w:rsidRDefault="00837E87" w:rsidP="00C77EA3">
      <w:pPr>
        <w:pStyle w:val="BODYTEXTELAA"/>
      </w:pPr>
    </w:p>
    <w:p w14:paraId="0C33814F" w14:textId="18C8EA59" w:rsidR="00837E87" w:rsidRDefault="00837E87" w:rsidP="00C77EA3">
      <w:pPr>
        <w:pStyle w:val="BODYTEXTELAA"/>
      </w:pPr>
    </w:p>
    <w:p w14:paraId="6F696F10" w14:textId="20D6D45B" w:rsidR="00837E87" w:rsidRDefault="00837E87" w:rsidP="00C77EA3">
      <w:pPr>
        <w:pStyle w:val="BODYTEXTELAA"/>
      </w:pPr>
    </w:p>
    <w:p w14:paraId="5870D833" w14:textId="65858727" w:rsidR="00837E87" w:rsidRDefault="00837E87" w:rsidP="00C77EA3">
      <w:pPr>
        <w:pStyle w:val="BODYTEXTELAA"/>
      </w:pPr>
    </w:p>
    <w:p w14:paraId="1FB306A5" w14:textId="1606B94A" w:rsidR="00444BDA" w:rsidRDefault="00444BDA" w:rsidP="00C77EA3">
      <w:pPr>
        <w:pStyle w:val="BODYTEXTELAA"/>
      </w:pPr>
    </w:p>
    <w:p w14:paraId="3ACE5E2B" w14:textId="19FF5E6E" w:rsidR="00374DE3" w:rsidRDefault="00374DE3" w:rsidP="00C77EA3">
      <w:pPr>
        <w:pStyle w:val="BODYTEXTELAA"/>
      </w:pPr>
    </w:p>
    <w:p w14:paraId="74D66E63" w14:textId="6155B04B" w:rsidR="00374DE3" w:rsidRDefault="00374DE3" w:rsidP="00C77EA3">
      <w:pPr>
        <w:pStyle w:val="BODYTEXTELAA"/>
      </w:pPr>
    </w:p>
    <w:p w14:paraId="1AAA185A" w14:textId="0F45D0F8" w:rsidR="00837E87" w:rsidRDefault="00837E87" w:rsidP="00C77EA3">
      <w:pPr>
        <w:pStyle w:val="BODYTEXTELAA"/>
      </w:pPr>
    </w:p>
    <w:p w14:paraId="59C8B6FD" w14:textId="77777777" w:rsidR="00DB2600" w:rsidRDefault="00DB2600" w:rsidP="00C77EA3">
      <w:pPr>
        <w:pStyle w:val="BODYTEXTELAA"/>
      </w:pPr>
    </w:p>
    <w:p w14:paraId="7F94F0FC" w14:textId="77777777" w:rsidR="00DB2600" w:rsidRDefault="00DB2600" w:rsidP="00C77EA3">
      <w:pPr>
        <w:pStyle w:val="BODYTEXTELAA"/>
      </w:pPr>
    </w:p>
    <w:p w14:paraId="341D7BFC" w14:textId="77777777" w:rsidR="00DB2600" w:rsidRDefault="00DB2600" w:rsidP="00C77EA3">
      <w:pPr>
        <w:pStyle w:val="BODYTEXTELAA"/>
      </w:pPr>
    </w:p>
    <w:p w14:paraId="71CFFA02" w14:textId="77777777" w:rsidR="00DB2600" w:rsidRDefault="00DB2600" w:rsidP="00C77EA3">
      <w:pPr>
        <w:pStyle w:val="BODYTEXTELAA"/>
      </w:pPr>
    </w:p>
    <w:p w14:paraId="06C4515D" w14:textId="1998EE39" w:rsidR="00F359D9" w:rsidRDefault="00F359D9" w:rsidP="007343F6">
      <w:pPr>
        <w:pStyle w:val="Heading2"/>
      </w:pPr>
      <w:r>
        <w:t>Legislation and Standards</w:t>
      </w:r>
    </w:p>
    <w:p w14:paraId="34720553" w14:textId="447B894D" w:rsidR="009C7DF8" w:rsidRDefault="009C7DF8" w:rsidP="00C77EA3">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C77EA3">
      <w:pPr>
        <w:pStyle w:val="BodyTextBullet1"/>
      </w:pPr>
      <w:r>
        <w:t>Education and Care Services National Law Act 2010: Section 173</w:t>
      </w:r>
    </w:p>
    <w:p w14:paraId="3E869AB3" w14:textId="1DE5D81F" w:rsidR="00612E09" w:rsidRDefault="00612E09" w:rsidP="00C77EA3">
      <w:pPr>
        <w:pStyle w:val="BodyTextBullet1"/>
      </w:pPr>
      <w:r>
        <w:t>Education and Care Services National Regulations 2011: Regulations 90, 91, 96</w:t>
      </w:r>
    </w:p>
    <w:p w14:paraId="4CE9A9F5" w14:textId="59C1A2CD" w:rsidR="00612E09" w:rsidRDefault="00612E09" w:rsidP="00C77EA3">
      <w:pPr>
        <w:pStyle w:val="BodyTextBullet1"/>
      </w:pPr>
      <w:r>
        <w:t>Health Records Act 2001 (Vic)</w:t>
      </w:r>
    </w:p>
    <w:p w14:paraId="3B29E92E" w14:textId="3C57F4F4" w:rsidR="00612E09" w:rsidRDefault="00612E09" w:rsidP="00C77EA3">
      <w:pPr>
        <w:pStyle w:val="BodyTextBullet1"/>
      </w:pPr>
      <w:r>
        <w:t>National Quality Standard, Quality Area 2: Children’s Health and Safety</w:t>
      </w:r>
    </w:p>
    <w:p w14:paraId="51E366FF" w14:textId="2AFEF904" w:rsidR="00612E09" w:rsidRDefault="00612E09" w:rsidP="00C77EA3">
      <w:pPr>
        <w:pStyle w:val="BodyTextBullet1"/>
      </w:pPr>
      <w:r>
        <w:t>National Quality Standard, Quality Area 7: Governance and Leadership</w:t>
      </w:r>
    </w:p>
    <w:p w14:paraId="1BF323F3" w14:textId="33CBA5AA" w:rsidR="00612E09" w:rsidRDefault="00612E09" w:rsidP="00C77EA3">
      <w:pPr>
        <w:pStyle w:val="BodyTextBullet1"/>
      </w:pPr>
      <w:r>
        <w:t>Occupational Health and Safety Act 2004 (Vic)</w:t>
      </w:r>
    </w:p>
    <w:p w14:paraId="1542FEE5" w14:textId="7D20B6EC" w:rsidR="00F359D9" w:rsidRDefault="00612E09" w:rsidP="00C77EA3">
      <w:pPr>
        <w:pStyle w:val="BodyTextBullet1"/>
      </w:pPr>
      <w:r>
        <w:t>Public Health and Wellbeing Act 2008 (Vic)</w:t>
      </w:r>
    </w:p>
    <w:p w14:paraId="7AC76153" w14:textId="7CA991CB" w:rsidR="00C33ECB" w:rsidRDefault="00C33ECB" w:rsidP="00C77EA3">
      <w:pPr>
        <w:pStyle w:val="BodyTextBullet1"/>
      </w:pPr>
      <w:r w:rsidRPr="00C33ECB">
        <w:t>Public Health and Wellbeing Regulations 2009 (Vic</w:t>
      </w:r>
      <w:r>
        <w:rPr>
          <w:noProof/>
          <w:lang w:eastAsia="en-AU"/>
        </w:rPr>
        <mc:AlternateContent>
          <mc:Choice Requires="wps">
            <w:drawing>
              <wp:anchor distT="45720" distB="45720" distL="114300" distR="114300" simplePos="0" relativeHeight="251824640"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D51D9A6" id="Text Box 2" o:spid="_x0000_s1027" style="position:absolute;left:0;text-align:left;margin-left:57.6pt;margin-top:24.3pt;width:441.75pt;height:73.6pt;z-index:-25149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C77EA3">
      <w:pPr>
        <w:pStyle w:val="BODYTEXTELAA"/>
      </w:pPr>
    </w:p>
    <w:p w14:paraId="22CF274F" w14:textId="5CCC99CA" w:rsidR="00F359D9" w:rsidRDefault="00F359D9" w:rsidP="00C77EA3">
      <w:pPr>
        <w:pStyle w:val="BODYTEXTELAA"/>
      </w:pPr>
      <w:r>
        <w:rPr>
          <w:noProof/>
          <w:lang w:eastAsia="en-AU"/>
        </w:rPr>
        <mc:AlternateContent>
          <mc:Choice Requires="wps">
            <w:drawing>
              <wp:anchor distT="0" distB="0" distL="114300" distR="114300" simplePos="0" relativeHeight="251487744"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E0169C" id="Straight Connector 12" o:spid="_x0000_s1026" style="position:absolute;flip:y;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Default="00A43EB5" w:rsidP="007343F6">
      <w:pPr>
        <w:pStyle w:val="Definitions"/>
      </w:pPr>
      <w:r>
        <w:rPr>
          <w:noProof/>
          <w:lang w:eastAsia="en-AU"/>
        </w:rPr>
        <w:drawing>
          <wp:anchor distT="0" distB="0" distL="114300" distR="114300" simplePos="0" relativeHeight="251696640"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51E0EB0" w14:textId="02298D9E" w:rsidR="007B399F" w:rsidRDefault="0013704A" w:rsidP="00C77EA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C77EA3">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C77EA3">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C77EA3">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w:t>
      </w:r>
      <w:r>
        <w:lastRenderedPageBreak/>
        <w:t>medical condition, and includes the child’s name and a photograph of the child. An example of this is the Australasian Society of Clinical Immunology and Allergy (ASCIA) Action Plan.</w:t>
      </w:r>
    </w:p>
    <w:p w14:paraId="1D26783E" w14:textId="480303C9" w:rsidR="00261AC3" w:rsidRDefault="00B34BD1" w:rsidP="00C77EA3">
      <w:pPr>
        <w:pStyle w:val="BODYTEXTELAA"/>
      </w:pPr>
      <w:r>
        <w:rPr>
          <w:noProof/>
          <w:lang w:eastAsia="en-AU"/>
        </w:rPr>
        <w:drawing>
          <wp:inline distT="0" distB="0" distL="0" distR="0" wp14:anchorId="36B51687" wp14:editId="5C2E1115">
            <wp:extent cx="5724525" cy="18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C77EA3">
      <w:pPr>
        <w:pStyle w:val="BODYTEXTELAA"/>
      </w:pPr>
    </w:p>
    <w:p w14:paraId="08FA3F1F" w14:textId="77777777" w:rsidR="007B399F" w:rsidRDefault="00716C94" w:rsidP="007343F6">
      <w:pPr>
        <w:pStyle w:val="SourcesandRelatedPolicies"/>
      </w:pPr>
      <w:r>
        <w:rPr>
          <w:noProof/>
          <w:lang w:eastAsia="en-AU"/>
        </w:rPr>
        <w:drawing>
          <wp:anchor distT="0" distB="0" distL="114300" distR="114300" simplePos="0" relativeHeight="251722240"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D4D5E62" w:rsidR="00066E85" w:rsidRPr="006074F2" w:rsidRDefault="006074F2" w:rsidP="00C77EA3">
      <w:pPr>
        <w:pStyle w:val="BodyTextBullet1"/>
      </w:pPr>
      <w:r w:rsidRPr="006074F2">
        <w:t xml:space="preserve">Staying Healthy: Preventing infectious diseases in early childhood education and care services (5th edition, 2013) National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C77EA3">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C77EA3">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C77EA3">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C77EA3">
      <w:pPr>
        <w:pStyle w:val="BodyTextBullet1"/>
      </w:pPr>
    </w:p>
    <w:p w14:paraId="73A373EE" w14:textId="4D6A473A" w:rsidR="000C5FAE" w:rsidRDefault="007B399F" w:rsidP="006074F2">
      <w:pPr>
        <w:pStyle w:val="Heading2"/>
      </w:pPr>
      <w:r>
        <w:t>Related Policies</w:t>
      </w:r>
    </w:p>
    <w:p w14:paraId="4D50368F" w14:textId="164509BD" w:rsidR="00EF5FDD" w:rsidRPr="00EF5FDD" w:rsidRDefault="00EF5FDD" w:rsidP="00C77EA3">
      <w:pPr>
        <w:pStyle w:val="BodyTextBullet1"/>
      </w:pPr>
      <w:r w:rsidRPr="00EF5FDD">
        <w:t>Administration of First Aid</w:t>
      </w:r>
    </w:p>
    <w:p w14:paraId="1949EAF6" w14:textId="13F376B5" w:rsidR="00EF5FDD" w:rsidRPr="00EF5FDD" w:rsidRDefault="00EF5FDD" w:rsidP="00C77EA3">
      <w:pPr>
        <w:pStyle w:val="BodyTextBullet1"/>
      </w:pPr>
      <w:r w:rsidRPr="00EF5FDD">
        <w:t>Administration of Medication</w:t>
      </w:r>
    </w:p>
    <w:p w14:paraId="43C79F22" w14:textId="677D6504" w:rsidR="00EF5FDD" w:rsidRPr="00EF5FDD" w:rsidRDefault="00EF5FDD" w:rsidP="00C77EA3">
      <w:pPr>
        <w:pStyle w:val="BodyTextBullet1"/>
      </w:pPr>
      <w:r w:rsidRPr="00EF5FDD">
        <w:t>Anaphylaxis</w:t>
      </w:r>
      <w:r w:rsidR="00663B5A">
        <w:t xml:space="preserve"> and Allergic Reactions</w:t>
      </w:r>
    </w:p>
    <w:p w14:paraId="5C30A4EE" w14:textId="4EA17210" w:rsidR="00EF5FDD" w:rsidRPr="00EF5FDD" w:rsidRDefault="00EF5FDD" w:rsidP="00C77EA3">
      <w:pPr>
        <w:pStyle w:val="BodyTextBullet1"/>
      </w:pPr>
      <w:r w:rsidRPr="00EF5FDD">
        <w:t>Asthma</w:t>
      </w:r>
    </w:p>
    <w:p w14:paraId="51342689" w14:textId="010EB264" w:rsidR="00EF5FDD" w:rsidRPr="00EF5FDD" w:rsidRDefault="00EF5FDD" w:rsidP="00C77EA3">
      <w:pPr>
        <w:pStyle w:val="BodyTextBullet1"/>
      </w:pPr>
      <w:r w:rsidRPr="00EF5FDD">
        <w:t>Dealing with Infectious Diseases</w:t>
      </w:r>
    </w:p>
    <w:p w14:paraId="58B73B12" w14:textId="07D604B4" w:rsidR="00EF5FDD" w:rsidRPr="00EF5FDD" w:rsidRDefault="00EF5FDD" w:rsidP="00C77EA3">
      <w:pPr>
        <w:pStyle w:val="BodyTextBullet1"/>
      </w:pPr>
      <w:r w:rsidRPr="00EF5FDD">
        <w:t>Diabetes</w:t>
      </w:r>
    </w:p>
    <w:p w14:paraId="08621190" w14:textId="715E4BA9" w:rsidR="00EF5FDD" w:rsidRPr="00EF5FDD" w:rsidRDefault="00EF5FDD" w:rsidP="00C77EA3">
      <w:pPr>
        <w:pStyle w:val="BodyTextBullet1"/>
      </w:pPr>
      <w:r w:rsidRPr="00EF5FDD">
        <w:t>Epilepsy</w:t>
      </w:r>
    </w:p>
    <w:p w14:paraId="354863A1" w14:textId="37D3474E" w:rsidR="00EF5FDD" w:rsidRPr="00EF5FDD" w:rsidRDefault="00EF5FDD" w:rsidP="00C77EA3">
      <w:pPr>
        <w:pStyle w:val="BodyTextBullet1"/>
      </w:pPr>
      <w:r w:rsidRPr="00EF5FDD">
        <w:t>Incident, Injury, Trauma and Illness</w:t>
      </w:r>
    </w:p>
    <w:p w14:paraId="3522F8AC" w14:textId="7CB74305" w:rsidR="00EF5FDD" w:rsidRPr="00EF5FDD" w:rsidRDefault="00EF5FDD" w:rsidP="00C77EA3">
      <w:pPr>
        <w:pStyle w:val="BodyTextBullet1"/>
      </w:pPr>
      <w:r w:rsidRPr="00EF5FDD">
        <w:t>Privacy and Confidentiality</w:t>
      </w:r>
    </w:p>
    <w:p w14:paraId="29A8E70B" w14:textId="7D2F9D1C" w:rsidR="005F3569" w:rsidRDefault="00EF5FDD" w:rsidP="00C77EA3">
      <w:pPr>
        <w:pStyle w:val="BodyTextBullet1"/>
      </w:pPr>
      <w:r w:rsidRPr="00EF5FDD">
        <w:t>Supervision of Children</w:t>
      </w:r>
    </w:p>
    <w:p w14:paraId="765B3A63" w14:textId="485CC2C5" w:rsidR="000C5FAE" w:rsidRPr="000C5FAE" w:rsidRDefault="006074F2" w:rsidP="00C77EA3">
      <w:pPr>
        <w:pStyle w:val="BODYTEXTELAA"/>
      </w:pPr>
      <w:r>
        <w:rPr>
          <w:noProof/>
          <w:lang w:eastAsia="en-AU"/>
        </w:rPr>
        <w:drawing>
          <wp:anchor distT="0" distB="0" distL="114300" distR="114300" simplePos="0" relativeHeight="251747840"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C77EA3">
      <w:pPr>
        <w:pStyle w:val="BODYTEXTELAA"/>
      </w:pPr>
      <w:r>
        <w:rPr>
          <w:noProof/>
          <w:lang w:eastAsia="en-AU"/>
        </w:rPr>
        <mc:AlternateContent>
          <mc:Choice Requires="wps">
            <w:drawing>
              <wp:anchor distT="0" distB="0" distL="114300" distR="114300" simplePos="0" relativeHeight="251513344"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84DD3A" id="Straight Connector 16" o:spid="_x0000_s1026" style="position:absolute;flip:y;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C77EA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B87D8DA" w14:textId="6A8110D3" w:rsidR="005F3569" w:rsidRDefault="005F3569" w:rsidP="00C77EA3">
      <w:pPr>
        <w:pStyle w:val="BodyTextBullet1"/>
      </w:pPr>
      <w:r>
        <w:t>regularly seek feedback from educators, staff, parents/guardians, children, management and all affected by the policy regarding its effectiveness</w:t>
      </w:r>
    </w:p>
    <w:p w14:paraId="7596D518" w14:textId="70224E91" w:rsidR="005F3569" w:rsidRDefault="005F3569" w:rsidP="00C77EA3">
      <w:pPr>
        <w:pStyle w:val="BodyTextBullet1"/>
      </w:pPr>
      <w:r>
        <w:t>monitor the implementation, compliance, complaints and incidents in relation to this policy</w:t>
      </w:r>
    </w:p>
    <w:p w14:paraId="3679F8DF" w14:textId="2D49AC5E" w:rsidR="005F3569" w:rsidRDefault="005F3569" w:rsidP="00C77EA3">
      <w:pPr>
        <w:pStyle w:val="BodyTextBullet1"/>
      </w:pPr>
      <w:r>
        <w:t>ensure that all information on display and supplied to parents/guardians regarding the management of medical conditions is current</w:t>
      </w:r>
    </w:p>
    <w:p w14:paraId="004D664C" w14:textId="3974E427" w:rsidR="005F3569" w:rsidRDefault="005F3569" w:rsidP="00C77EA3">
      <w:pPr>
        <w:pStyle w:val="BodyTextBullet1"/>
      </w:pPr>
      <w:r>
        <w:t>keep the policy up to date with current legislation, research, policy and best practice</w:t>
      </w:r>
    </w:p>
    <w:p w14:paraId="56904FA1" w14:textId="036A6471" w:rsidR="005F3569" w:rsidRDefault="005F3569" w:rsidP="00C77EA3">
      <w:pPr>
        <w:pStyle w:val="BodyTextBullet1"/>
      </w:pPr>
      <w:r>
        <w:t>revise the policy and procedures as part of the service’s policy review cycle, or as required</w:t>
      </w:r>
    </w:p>
    <w:p w14:paraId="35A96545" w14:textId="4FB464EA" w:rsidR="00765382" w:rsidRDefault="00CF3494" w:rsidP="00C77EA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C77EA3">
      <w:pPr>
        <w:pStyle w:val="BODYTEXTELAA"/>
      </w:pPr>
    </w:p>
    <w:p w14:paraId="6F789C85" w14:textId="77777777" w:rsidR="007B399F" w:rsidRDefault="007B399F" w:rsidP="00C77EA3">
      <w:pPr>
        <w:pStyle w:val="BODYTEXTELAA"/>
      </w:pPr>
      <w:r>
        <w:rPr>
          <w:noProof/>
          <w:lang w:eastAsia="en-AU"/>
        </w:rPr>
        <w:lastRenderedPageBreak/>
        <mc:AlternateContent>
          <mc:Choice Requires="wps">
            <w:drawing>
              <wp:anchor distT="0" distB="0" distL="114300" distR="114300" simplePos="0" relativeHeight="251538944"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804570" id="Straight Connector 17" o:spid="_x0000_s1026" style="position:absolute;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lang w:eastAsia="en-AU"/>
        </w:rPr>
        <w:drawing>
          <wp:anchor distT="0" distB="0" distL="114300" distR="114300" simplePos="0" relativeHeight="251773440"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C77EA3">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C77EA3">
      <w:pPr>
        <w:pStyle w:val="BODYTEXTELAA"/>
      </w:pPr>
    </w:p>
    <w:p w14:paraId="78C09710" w14:textId="77777777" w:rsidR="007B399F" w:rsidRDefault="007B399F" w:rsidP="00C77EA3">
      <w:pPr>
        <w:pStyle w:val="BODYTEXTELAA"/>
      </w:pPr>
      <w:r>
        <w:rPr>
          <w:noProof/>
          <w:lang w:eastAsia="en-AU"/>
        </w:rPr>
        <mc:AlternateContent>
          <mc:Choice Requires="wps">
            <w:drawing>
              <wp:anchor distT="0" distB="0" distL="114300" distR="114300" simplePos="0" relativeHeight="251564544"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EEC587" id="Straight Connector 18" o:spid="_x0000_s1026" style="position:absolute;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lang w:eastAsia="en-AU"/>
        </w:rPr>
        <w:drawing>
          <wp:anchor distT="0" distB="0" distL="114300" distR="114300" simplePos="0" relativeHeight="251799040"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139CEE52" w:rsidR="009416A1" w:rsidRDefault="009416A1" w:rsidP="00C77EA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EndPr/>
        <w:sdtContent>
          <w:r w:rsidR="00DE5245">
            <w:t>Flinders Preschool Inc.</w:t>
          </w:r>
        </w:sdtContent>
      </w:sdt>
      <w:r w:rsidR="00DE5245">
        <w:t xml:space="preserve"> on 26 April 2023.</w:t>
      </w:r>
    </w:p>
    <w:p w14:paraId="36653C18" w14:textId="7944FBC9" w:rsidR="007B399F" w:rsidRDefault="009416A1" w:rsidP="00C77EA3">
      <w:pPr>
        <w:pStyle w:val="BODYTEXTELAA"/>
      </w:pPr>
      <w:r w:rsidRPr="009416A1">
        <w:rPr>
          <w:b/>
          <w:bCs/>
        </w:rPr>
        <w:t>REVIEW DATE:</w:t>
      </w:r>
      <w:r w:rsidR="00DE5245">
        <w:t xml:space="preserve"> 26 April 2024.</w:t>
      </w:r>
    </w:p>
    <w:p w14:paraId="64BF2947" w14:textId="77777777" w:rsidR="007B399F" w:rsidRDefault="007B399F" w:rsidP="00C77EA3">
      <w:pPr>
        <w:pStyle w:val="BODYTEXTELAA"/>
      </w:pPr>
    </w:p>
    <w:p w14:paraId="149F6A5A" w14:textId="77777777" w:rsidR="007B399F" w:rsidRDefault="007B399F" w:rsidP="00C77EA3">
      <w:pPr>
        <w:pStyle w:val="BODYTEXTELAA"/>
      </w:pPr>
      <w:r>
        <w:rPr>
          <w:noProof/>
          <w:lang w:eastAsia="en-AU"/>
        </w:rPr>
        <mc:AlternateContent>
          <mc:Choice Requires="wps">
            <w:drawing>
              <wp:anchor distT="0" distB="0" distL="114300" distR="114300" simplePos="0" relativeHeight="251590144"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3BA100" id="Straight Connector 19" o:spid="_x0000_s1026" style="position:absolute;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C77EA3">
      <w:pPr>
        <w:pStyle w:val="BODYTEXTELAA"/>
        <w:sectPr w:rsidR="002B33CE" w:rsidSect="00A24295">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51FD32CF" w14:textId="066AFF39" w:rsidR="002B33CE" w:rsidRDefault="002B33CE" w:rsidP="007343F6">
      <w:pPr>
        <w:pStyle w:val="AttachmentsAttachments"/>
      </w:pPr>
      <w:r>
        <w:lastRenderedPageBreak/>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C558FE">
      <w:pPr>
        <w:pStyle w:val="TableAttachmentTextBullet1"/>
      </w:pPr>
      <w:r>
        <w:t>that risks relating to the child’s specific health care needs</w:t>
      </w:r>
      <w:r w:rsidR="00954EAB">
        <w:t>,</w:t>
      </w:r>
      <w:r>
        <w:t xml:space="preserve"> allergy or relevant medical condition are assessed and minimised;</w:t>
      </w:r>
    </w:p>
    <w:p w14:paraId="43ACAF7B" w14:textId="75061B6F" w:rsidR="009C10C5" w:rsidRDefault="009C10C5" w:rsidP="00C558FE">
      <w:pPr>
        <w:pStyle w:val="TableAttachmentTextBullet1"/>
      </w:pPr>
      <w:r>
        <w:t xml:space="preserve">if relevant, </w:t>
      </w:r>
      <w:r w:rsidR="004823FF">
        <w:t xml:space="preserve">policies </w:t>
      </w:r>
      <w:r>
        <w:t>and procedures in relation to safe handling, preparation, consumption, and service of food, are developed and implemented</w:t>
      </w:r>
      <w:r w:rsidR="00954EAB">
        <w:t>;</w:t>
      </w:r>
    </w:p>
    <w:p w14:paraId="52D4D0BB" w14:textId="2633A8D4" w:rsidR="009C10C5" w:rsidRDefault="009C10C5" w:rsidP="00C558FE">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implemented;</w:t>
      </w:r>
    </w:p>
    <w:p w14:paraId="495887F9" w14:textId="26E082BE" w:rsidR="009C10C5" w:rsidRDefault="004823FF" w:rsidP="00C558FE">
      <w:pPr>
        <w:pStyle w:val="TableAttachmentTextBullet1"/>
      </w:pPr>
      <w:r>
        <w:t xml:space="preserve">policies </w:t>
      </w:r>
      <w:r w:rsidR="009C10C5">
        <w:t xml:space="preserve">and procedures ensuring all </w:t>
      </w:r>
      <w:r w:rsidR="003744D5">
        <w:t>ECT/educators/</w:t>
      </w:r>
      <w:r w:rsidR="009C10C5">
        <w:t>staff members and volunteers can identify the child, the child’s medical management plan, and the locations of the child’s medication, are developed and implemented;</w:t>
      </w:r>
    </w:p>
    <w:p w14:paraId="5E349D37" w14:textId="6E564431" w:rsidR="00F74D45" w:rsidRDefault="009C10C5" w:rsidP="00E24284">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implemented; </w:t>
      </w:r>
    </w:p>
    <w:p w14:paraId="7E46266C" w14:textId="7287C8F0" w:rsidR="00E24284" w:rsidRDefault="003F1734" w:rsidP="00E24284">
      <w:r>
        <w:t xml:space="preserve">When developing </w:t>
      </w:r>
      <w:r w:rsidR="00E24284">
        <w:t>a communication plan ensure:</w:t>
      </w:r>
    </w:p>
    <w:p w14:paraId="643D00F5" w14:textId="706ED1DD" w:rsidR="00E24284" w:rsidRDefault="00F74D45" w:rsidP="00C558FE">
      <w:pPr>
        <w:pStyle w:val="TableAttachmentTextBullet1"/>
      </w:pPr>
      <w:r w:rsidRPr="00F74D45">
        <w:t xml:space="preserve">ECT/educators/staff members and volunteers </w:t>
      </w:r>
      <w:r w:rsidR="00E24284">
        <w:t>are informed about the medical conditions policy, and the medical management plans, and risk minimisation plans for the child;</w:t>
      </w:r>
    </w:p>
    <w:p w14:paraId="135A9D6F" w14:textId="7E8305EE" w:rsidR="00E24284" w:rsidRDefault="00856034" w:rsidP="00C558FE">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indicate they understand the triggers, allergens and risk involved</w:t>
      </w:r>
      <w:r w:rsidR="00990BB3">
        <w:t>;</w:t>
      </w:r>
    </w:p>
    <w:p w14:paraId="16566A6B" w14:textId="0012F556" w:rsidR="00E24284" w:rsidRDefault="00990BB3" w:rsidP="00C558FE">
      <w:pPr>
        <w:pStyle w:val="TableAttachmentTextBullet1"/>
      </w:pPr>
      <w:r>
        <w:t xml:space="preserve">the </w:t>
      </w:r>
      <w:r w:rsidR="0020415C">
        <w:t>c</w:t>
      </w:r>
      <w:r w:rsidR="00E24284">
        <w:t>hild’s parents</w:t>
      </w:r>
      <w:r w:rsidR="00C558FE">
        <w:t>/guardians</w:t>
      </w:r>
      <w:r w:rsidR="00E24284">
        <w:t xml:space="preserve"> can communicate any changes to the medical management plan, and risk minimisation plan for the child, and </w:t>
      </w:r>
      <w:r>
        <w:t xml:space="preserve">set </w:t>
      </w:r>
      <w:r w:rsidR="00E24284">
        <w:t>out how that communication can occur</w:t>
      </w:r>
      <w:r>
        <w:t>;</w:t>
      </w:r>
    </w:p>
    <w:p w14:paraId="0C3D3C1A" w14:textId="4B5FAF29" w:rsidR="00E24284" w:rsidRDefault="00E24284" w:rsidP="00C558FE">
      <w:pPr>
        <w:pStyle w:val="TableAttachmentTextBullet1"/>
      </w:pPr>
      <w:r>
        <w:t>to advise parents/guardians when a medical management plan has been implemented in response to a child’s medical condition</w:t>
      </w:r>
      <w:r w:rsidR="00C558FE">
        <w:t>;</w:t>
      </w:r>
    </w:p>
    <w:p w14:paraId="243771E3" w14:textId="134BE28A" w:rsidR="00E24284" w:rsidRDefault="00E24284" w:rsidP="00C558FE">
      <w:pPr>
        <w:pStyle w:val="TableAttachmentTextBullet1"/>
      </w:pPr>
      <w:r>
        <w:t>the medication and incident, injury, illness and trauma records are completed as soon as practicable after a medical management plan has been implemented and medication was administered</w:t>
      </w:r>
      <w:r w:rsidR="00C558FE">
        <w:t>;</w:t>
      </w:r>
    </w:p>
    <w:p w14:paraId="0F321B47" w14:textId="22BD5B8C" w:rsidR="00E24284" w:rsidRDefault="00E24284" w:rsidP="00C558FE">
      <w:pPr>
        <w:pStyle w:val="TableAttachmentTextBullet1"/>
      </w:pPr>
      <w:r>
        <w:t xml:space="preserve">that the </w:t>
      </w:r>
      <w:r w:rsidR="00224C98">
        <w:t xml:space="preserve">nominated supervisor </w:t>
      </w:r>
      <w:r>
        <w:t>is notified when a medical action plan has been implemented</w:t>
      </w:r>
      <w:r w:rsidR="00C558FE">
        <w:t>;</w:t>
      </w:r>
    </w:p>
    <w:p w14:paraId="6C595958" w14:textId="72272E52" w:rsidR="002F4163" w:rsidRDefault="002F4163" w:rsidP="00C558FE">
      <w:pPr>
        <w:pStyle w:val="TableAttachmentTextBullet1"/>
      </w:pPr>
      <w:r>
        <w:t xml:space="preserve">parents/guardians provide permission for their child’s medical management plan (with photo), allergens, food restrictions, condition triggers, and any other relevant information, to be displayed in the </w:t>
      </w:r>
      <w:r w:rsidR="00F969D8">
        <w:t>service</w:t>
      </w:r>
      <w:r>
        <w:t xml:space="preserve">. </w:t>
      </w:r>
      <w:r w:rsidRPr="00F969D8">
        <w:rPr>
          <w:highlight w:val="yellow"/>
        </w:rPr>
        <w:t xml:space="preserve">Dated handwritten permission should be recorded on the back of the child’s plan, and the relevant sections in the Acknowledgments and Consents Form as part the </w:t>
      </w:r>
      <w:r w:rsidRPr="00F969D8">
        <w:rPr>
          <w:rStyle w:val="PolicyNameChar"/>
          <w:highlight w:val="yellow"/>
        </w:rPr>
        <w:t>Confidentiality and Privacy Policy</w:t>
      </w:r>
    </w:p>
    <w:p w14:paraId="3AC56853" w14:textId="7311F391" w:rsidR="002F4163" w:rsidRDefault="002F4163" w:rsidP="00C558FE">
      <w:pPr>
        <w:pStyle w:val="TableAttachmentTextBullet1"/>
      </w:pPr>
      <w:r>
        <w:t xml:space="preserve">all relevant children’s medical management plans (with photo), allergens, food restrictions, condition triggers, and any other relevant information, are displayed and visible to all </w:t>
      </w:r>
      <w:r w:rsidR="005A00C3">
        <w:t>ECT/educators/staff and volunteers at the service</w:t>
      </w:r>
      <w:r w:rsidR="00F04AAC">
        <w:t>;</w:t>
      </w:r>
    </w:p>
    <w:p w14:paraId="42400C99" w14:textId="12B9FD16" w:rsidR="002F4163" w:rsidRDefault="002F03DF" w:rsidP="00C558FE">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C558FE">
      <w:pPr>
        <w:pStyle w:val="TableAttachmentTextBullet1"/>
      </w:pPr>
      <w:r>
        <w:t xml:space="preserve">stored in a location that is known and easily accessible to all </w:t>
      </w:r>
      <w:r w:rsidR="00895CF3">
        <w:t>staff</w:t>
      </w:r>
      <w:r>
        <w:t>;</w:t>
      </w:r>
    </w:p>
    <w:p w14:paraId="5B694BE7" w14:textId="19F9B2F0" w:rsidR="00F02BB9" w:rsidRDefault="00F02BB9" w:rsidP="00C558FE">
      <w:pPr>
        <w:pStyle w:val="TableAttachmentTextBullet1"/>
      </w:pPr>
      <w:r>
        <w:t xml:space="preserve">a copy of the </w:t>
      </w:r>
      <w:r w:rsidR="00AF65AA">
        <w:t>medical management plan is with the medication;</w:t>
      </w:r>
    </w:p>
    <w:p w14:paraId="7E5F76F5" w14:textId="01FFFB53" w:rsidR="002F4163" w:rsidRDefault="002F4163" w:rsidP="00C558FE">
      <w:pPr>
        <w:pStyle w:val="TableAttachmentTextBullet1"/>
      </w:pPr>
      <w:r>
        <w:t>not locked away;</w:t>
      </w:r>
    </w:p>
    <w:p w14:paraId="2F639E80" w14:textId="034DA172" w:rsidR="002F4163" w:rsidRDefault="002F4163" w:rsidP="00C558FE">
      <w:pPr>
        <w:pStyle w:val="TableAttachmentTextBullet1"/>
      </w:pPr>
      <w:r>
        <w:t>inaccessible to children; and</w:t>
      </w:r>
    </w:p>
    <w:p w14:paraId="1BC453F8" w14:textId="1B8C9C22" w:rsidR="002F4163" w:rsidRDefault="002F4163" w:rsidP="00C558FE">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lastRenderedPageBreak/>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t>Maximise</w:t>
      </w:r>
      <w:r w:rsidR="00157EE0">
        <w:t>,</w:t>
      </w:r>
      <w:r>
        <w:t xml:space="preserve"> in consultation with the parents, the health and safety of their child through supervised management of the child’s medical condition.</w:t>
      </w:r>
    </w:p>
    <w:p w14:paraId="23329F98" w14:textId="5C345812" w:rsidR="006856F1" w:rsidRDefault="006856F1" w:rsidP="006856F1">
      <w:r>
        <w:t>Promptly communicate to parents/guardians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2B33CE">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4626A" w14:textId="77777777" w:rsidR="004602C6" w:rsidRDefault="004602C6" w:rsidP="004B56A8">
      <w:r>
        <w:separator/>
      </w:r>
    </w:p>
  </w:endnote>
  <w:endnote w:type="continuationSeparator" w:id="0">
    <w:p w14:paraId="2FCCFA2E" w14:textId="77777777" w:rsidR="004602C6" w:rsidRDefault="004602C6"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C082" w14:textId="2AF4839F" w:rsidR="00C44DEC" w:rsidRDefault="00C44DEC" w:rsidP="00501896">
    <w:pPr>
      <w:pStyle w:val="Footer"/>
    </w:pPr>
    <w:r>
      <w:rPr>
        <w:noProof/>
        <w:lang w:eastAsia="en-AU"/>
      </w:rPr>
      <mc:AlternateContent>
        <mc:Choice Requires="wps">
          <w:drawing>
            <wp:anchor distT="45720" distB="45720" distL="114300" distR="114300" simplePos="0" relativeHeight="251669504" behindDoc="1" locked="1" layoutInCell="1" allowOverlap="1" wp14:anchorId="193E4C53" wp14:editId="0602BA89">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5B1FC406" w:rsidR="00C44DEC" w:rsidRDefault="004602C6">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E5245">
                            <w:rPr>
                              <w:rStyle w:val="FooterChar"/>
                              <w:noProof/>
                            </w:rPr>
                            <w:t>April 23</w:t>
                          </w:r>
                          <w:r w:rsidR="00607871">
                            <w:rPr>
                              <w:rStyle w:val="FooterChar"/>
                            </w:rPr>
                            <w:fldChar w:fldCharType="end"/>
                          </w:r>
                        </w:p>
                        <w:p w14:paraId="477E94EE" w14:textId="575AC720" w:rsidR="00C44DEC" w:rsidRPr="00F359D9" w:rsidRDefault="00C44DEC" w:rsidP="005018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_x0000_s1028" type="#_x0000_t202" style="position:absolute;margin-left:83.9pt;margin-top:781.95pt;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7B6F9BB0" w14:textId="5B1FC406" w:rsidR="00C44DEC" w:rsidRDefault="004602C6">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E5245">
                      <w:rPr>
                        <w:rStyle w:val="FooterChar"/>
                        <w:noProof/>
                      </w:rPr>
                      <w:t>April 23</w:t>
                    </w:r>
                    <w:r w:rsidR="00607871">
                      <w:rPr>
                        <w:rStyle w:val="FooterChar"/>
                      </w:rPr>
                      <w:fldChar w:fldCharType="end"/>
                    </w:r>
                  </w:p>
                  <w:p w14:paraId="477E94EE" w14:textId="575AC720" w:rsidR="00C44DEC" w:rsidRPr="00F359D9" w:rsidRDefault="00C44DEC" w:rsidP="00501896">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DE5245">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DE5245">
      <w:rPr>
        <w:noProof/>
      </w:rPr>
      <w:t>9</w:t>
    </w:r>
    <w:r w:rsidRPr="00F359D9">
      <w:rPr>
        <w:noProof/>
      </w:rPr>
      <w:fldChar w:fldCharType="end"/>
    </w:r>
  </w:p>
  <w:p w14:paraId="0FAEF393" w14:textId="77777777" w:rsidR="00C44DEC" w:rsidRDefault="00C44DEC" w:rsidP="005018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4AA4" w14:textId="2D05B534" w:rsidR="00C44DEC" w:rsidRDefault="00C44DEC" w:rsidP="00501896">
    <w:pPr>
      <w:pStyle w:val="Footer"/>
    </w:pPr>
    <w:r>
      <w:rPr>
        <w:noProof/>
        <w:lang w:eastAsia="en-AU"/>
      </w:rPr>
      <mc:AlternateContent>
        <mc:Choice Requires="wps">
          <w:drawing>
            <wp:anchor distT="45720" distB="45720" distL="114300" distR="114300" simplePos="0" relativeHeight="251620352" behindDoc="1" locked="1" layoutInCell="1" allowOverlap="1" wp14:anchorId="5AA2A5D7" wp14:editId="2CC1166D">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2F2DA9C4" w:rsidR="00C44DEC" w:rsidRDefault="004602C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E5245">
                            <w:rPr>
                              <w:rStyle w:val="FooterChar"/>
                              <w:noProof/>
                            </w:rPr>
                            <w:t>April 23</w:t>
                          </w:r>
                          <w:r w:rsidR="00B32941">
                            <w:rPr>
                              <w:rStyle w:val="FooterChar"/>
                            </w:rPr>
                            <w:fldChar w:fldCharType="end"/>
                          </w:r>
                        </w:p>
                        <w:p w14:paraId="74AA67FA" w14:textId="4A3EC67F" w:rsidR="00DE5245" w:rsidRPr="00F359D9" w:rsidRDefault="00DE5245" w:rsidP="00DE5245">
                          <w:pPr>
                            <w:pStyle w:val="Footer"/>
                          </w:pPr>
                          <w:r w:rsidRPr="00F359D9">
                            <w:t xml:space="preserve"> </w:t>
                          </w:r>
                        </w:p>
                        <w:p w14:paraId="4863CF97" w14:textId="1BFD9968" w:rsidR="00C44DEC" w:rsidRPr="00F359D9" w:rsidRDefault="00C44DEC" w:rsidP="005018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_x0000_s1030" type="#_x0000_t202" style="position:absolute;margin-left:83.9pt;margin-top:781.9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6C863BA0" w14:textId="2F2DA9C4" w:rsidR="00C44DEC" w:rsidRDefault="004602C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E5245">
                      <w:rPr>
                        <w:rStyle w:val="FooterChar"/>
                        <w:noProof/>
                      </w:rPr>
                      <w:t>April 23</w:t>
                    </w:r>
                    <w:r w:rsidR="00B32941">
                      <w:rPr>
                        <w:rStyle w:val="FooterChar"/>
                      </w:rPr>
                      <w:fldChar w:fldCharType="end"/>
                    </w:r>
                  </w:p>
                  <w:p w14:paraId="74AA67FA" w14:textId="4A3EC67F" w:rsidR="00DE5245" w:rsidRPr="00F359D9" w:rsidRDefault="00DE5245" w:rsidP="00DE5245">
                    <w:pPr>
                      <w:pStyle w:val="Footer"/>
                    </w:pPr>
                    <w:r w:rsidRPr="00F359D9">
                      <w:t xml:space="preserve"> </w:t>
                    </w:r>
                  </w:p>
                  <w:p w14:paraId="4863CF97" w14:textId="1BFD9968" w:rsidR="00C44DEC" w:rsidRPr="00F359D9" w:rsidRDefault="00C44DEC" w:rsidP="00501896">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DE5245">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DE5245">
      <w:rPr>
        <w:noProof/>
      </w:rPr>
      <w:t>9</w:t>
    </w:r>
    <w:r w:rsidRPr="00F359D9">
      <w:rPr>
        <w:noProof/>
      </w:rPr>
      <w:fldChar w:fldCharType="end"/>
    </w:r>
  </w:p>
  <w:p w14:paraId="2DEA1E91" w14:textId="77777777" w:rsidR="00C44DEC" w:rsidRDefault="00C44DEC" w:rsidP="005018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0787D" w14:textId="77777777" w:rsidR="004602C6" w:rsidRDefault="004602C6" w:rsidP="004B56A8">
      <w:r>
        <w:separator/>
      </w:r>
    </w:p>
  </w:footnote>
  <w:footnote w:type="continuationSeparator" w:id="0">
    <w:p w14:paraId="0CD24493" w14:textId="77777777" w:rsidR="004602C6" w:rsidRDefault="004602C6" w:rsidP="004B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9512" w14:textId="77777777" w:rsidR="003D0D41" w:rsidRDefault="00F277A2">
    <w:pPr>
      <w:pStyle w:val="Header"/>
    </w:pPr>
    <w:r>
      <w:rPr>
        <w:noProof/>
        <w:lang w:eastAsia="en-AU"/>
      </w:rPr>
      <w:drawing>
        <wp:anchor distT="0" distB="0" distL="114300" distR="114300" simplePos="0" relativeHeight="251742208"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BF18" w14:textId="2491E650" w:rsidR="00F359D9" w:rsidRDefault="000B4FE3">
    <w:pPr>
      <w:pStyle w:val="Header"/>
    </w:pPr>
    <w:r>
      <w:rPr>
        <w:noProof/>
        <w:lang w:eastAsia="en-AU"/>
      </w:rPr>
      <mc:AlternateContent>
        <mc:Choice Requires="wps">
          <w:drawing>
            <wp:anchor distT="45720" distB="45720" distL="114300" distR="114300" simplePos="0" relativeHeight="251717632" behindDoc="0" locked="0" layoutInCell="1" allowOverlap="1" wp14:anchorId="375E73F5" wp14:editId="54271C68">
              <wp:simplePos x="0" y="0"/>
              <wp:positionH relativeFrom="column">
                <wp:posOffset>-38735</wp:posOffset>
              </wp:positionH>
              <wp:positionV relativeFrom="paragraph">
                <wp:posOffset>565150</wp:posOffset>
              </wp:positionV>
              <wp:extent cx="6057900" cy="1404620"/>
              <wp:effectExtent l="0" t="0" r="0" b="381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noFill/>
                        <a:miter lim="800000"/>
                        <a:headEnd/>
                        <a:tailEnd/>
                      </a:ln>
                    </wps:spPr>
                    <wps:txbx>
                      <w:txbxContent>
                        <w:p w14:paraId="71E4DF5E" w14:textId="6C82B408" w:rsidR="00DE5245" w:rsidRDefault="003E6585" w:rsidP="004B56A8">
                          <w:pPr>
                            <w:pStyle w:val="Title"/>
                          </w:pPr>
                          <w:r w:rsidRPr="003E6585">
                            <w:t>DEALING WITH MEDICAL</w:t>
                          </w:r>
                          <w:r w:rsidR="00DE5245">
                            <w:tab/>
                          </w:r>
                          <w:r w:rsidR="00DE5245">
                            <w:tab/>
                          </w:r>
                          <w:r w:rsidR="00DE5245">
                            <w:tab/>
                          </w:r>
                          <w:r w:rsidR="00DE5245">
                            <w:tab/>
                          </w:r>
                          <w:r w:rsidRPr="003E6585">
                            <w:t xml:space="preserve"> </w:t>
                          </w:r>
                          <w:r w:rsidR="00DE5245">
                            <w:rPr>
                              <w:noProof/>
                              <w:lang w:eastAsia="en-AU"/>
                            </w:rPr>
                            <w:drawing>
                              <wp:inline distT="0" distB="0" distL="0" distR="0" wp14:anchorId="3B667E8D" wp14:editId="6611CB8D">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2F3337F3" w14:textId="23BCAD51" w:rsidR="000B4FE3" w:rsidRDefault="003E6585" w:rsidP="004B56A8">
                          <w:pPr>
                            <w:pStyle w:val="Title"/>
                          </w:pPr>
                          <w:r w:rsidRPr="003E6585">
                            <w:t>CONDITIONS</w:t>
                          </w:r>
                          <w:r w:rsidR="00DE5245">
                            <w:t xml:space="preserve"> </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E73F5" id="_x0000_t202" coordsize="21600,21600" o:spt="202" path="m,l,21600r21600,l21600,xe">
              <v:stroke joinstyle="miter"/>
              <v:path gradientshapeok="t" o:connecttype="rect"/>
            </v:shapetype>
            <v:shape id="_x0000_s1029" type="#_x0000_t202" style="position:absolute;margin-left:-3.05pt;margin-top:44.5pt;width:477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" stroked="f">
              <v:textbox style="mso-fit-shape-to-text:t">
                <w:txbxContent>
                  <w:p w14:paraId="71E4DF5E" w14:textId="6C82B408" w:rsidR="00DE5245" w:rsidRDefault="003E6585" w:rsidP="004B56A8">
                    <w:pPr>
                      <w:pStyle w:val="Title"/>
                    </w:pPr>
                    <w:r w:rsidRPr="003E6585">
                      <w:t>DEALING WITH MEDICAL</w:t>
                    </w:r>
                    <w:r w:rsidR="00DE5245">
                      <w:tab/>
                    </w:r>
                    <w:r w:rsidR="00DE5245">
                      <w:tab/>
                    </w:r>
                    <w:r w:rsidR="00DE5245">
                      <w:tab/>
                    </w:r>
                    <w:r w:rsidR="00DE5245">
                      <w:tab/>
                    </w:r>
                    <w:r w:rsidRPr="003E6585">
                      <w:t xml:space="preserve"> </w:t>
                    </w:r>
                    <w:r w:rsidR="00DE5245">
                      <w:rPr>
                        <w:noProof/>
                        <w:lang w:eastAsia="en-AU"/>
                      </w:rPr>
                      <w:drawing>
                        <wp:inline distT="0" distB="0" distL="0" distR="0" wp14:anchorId="3B667E8D" wp14:editId="6611CB8D">
                          <wp:extent cx="571500" cy="746125"/>
                          <wp:effectExtent l="0" t="0" r="0" b="0"/>
                          <wp:docPr id="8" name="Picture 8" descr="C:\Users\CL_SNoble\Desktop\flinder image.png"/>
                          <wp:cNvGraphicFramePr/>
                          <a:graphic xmlns:a="http://schemas.openxmlformats.org/drawingml/2006/main">
                            <a:graphicData uri="http://schemas.openxmlformats.org/drawingml/2006/picture">
                              <pic:pic xmlns:pic="http://schemas.openxmlformats.org/drawingml/2006/picture">
                                <pic:nvPicPr>
                                  <pic:cNvPr id="8" name="Picture 8" descr="C:\Users\CL_SNoble\Desktop\flinder 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6125"/>
                                  </a:xfrm>
                                  <a:prstGeom prst="rect">
                                    <a:avLst/>
                                  </a:prstGeom>
                                  <a:noFill/>
                                  <a:ln>
                                    <a:noFill/>
                                  </a:ln>
                                </pic:spPr>
                              </pic:pic>
                            </a:graphicData>
                          </a:graphic>
                        </wp:inline>
                      </w:drawing>
                    </w:r>
                  </w:p>
                  <w:p w14:paraId="2F3337F3" w14:textId="23BCAD51" w:rsidR="000B4FE3" w:rsidRDefault="003E6585" w:rsidP="004B56A8">
                    <w:pPr>
                      <w:pStyle w:val="Title"/>
                    </w:pPr>
                    <w:r w:rsidRPr="003E6585">
                      <w:t>CONDITIONS</w:t>
                    </w:r>
                    <w:r w:rsidR="00DE5245">
                      <w:t xml:space="preserve"> </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362C" w14:textId="77777777" w:rsidR="009B3CF1" w:rsidRDefault="009B3CF1">
    <w:pPr>
      <w:pStyle w:val="Header"/>
    </w:pPr>
    <w:r>
      <w:rPr>
        <w:noProof/>
        <w:lang w:eastAsia="en-AU"/>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85"/>
    <w:rsid w:val="00000EE9"/>
    <w:rsid w:val="00002603"/>
    <w:rsid w:val="00002B77"/>
    <w:rsid w:val="00003376"/>
    <w:rsid w:val="00010D33"/>
    <w:rsid w:val="00015D04"/>
    <w:rsid w:val="00030EEA"/>
    <w:rsid w:val="000313F1"/>
    <w:rsid w:val="00040121"/>
    <w:rsid w:val="0004023A"/>
    <w:rsid w:val="0004528C"/>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D2CD7"/>
    <w:rsid w:val="000D42C8"/>
    <w:rsid w:val="000E6D7A"/>
    <w:rsid w:val="000F5244"/>
    <w:rsid w:val="000F68D2"/>
    <w:rsid w:val="0010056E"/>
    <w:rsid w:val="00103CE8"/>
    <w:rsid w:val="001070B3"/>
    <w:rsid w:val="00107D74"/>
    <w:rsid w:val="00113F18"/>
    <w:rsid w:val="001237A2"/>
    <w:rsid w:val="001242E4"/>
    <w:rsid w:val="001255E7"/>
    <w:rsid w:val="00130FCA"/>
    <w:rsid w:val="00131B69"/>
    <w:rsid w:val="001339C0"/>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7AF9"/>
    <w:rsid w:val="001A5B0F"/>
    <w:rsid w:val="001B0A45"/>
    <w:rsid w:val="001B72B2"/>
    <w:rsid w:val="001C1E90"/>
    <w:rsid w:val="001C321F"/>
    <w:rsid w:val="001C376C"/>
    <w:rsid w:val="001C71FF"/>
    <w:rsid w:val="001D240C"/>
    <w:rsid w:val="001D54F4"/>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E0291"/>
    <w:rsid w:val="002E13CE"/>
    <w:rsid w:val="002E44EA"/>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F1B"/>
    <w:rsid w:val="003A43F9"/>
    <w:rsid w:val="003C30F4"/>
    <w:rsid w:val="003C7ACB"/>
    <w:rsid w:val="003D0936"/>
    <w:rsid w:val="003D09E0"/>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02C6"/>
    <w:rsid w:val="00461A9F"/>
    <w:rsid w:val="00462A49"/>
    <w:rsid w:val="004639D6"/>
    <w:rsid w:val="0046708D"/>
    <w:rsid w:val="00467B00"/>
    <w:rsid w:val="00470424"/>
    <w:rsid w:val="0047707B"/>
    <w:rsid w:val="004823FF"/>
    <w:rsid w:val="00482FAA"/>
    <w:rsid w:val="004836AA"/>
    <w:rsid w:val="00493D04"/>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1896"/>
    <w:rsid w:val="00502982"/>
    <w:rsid w:val="00502C4B"/>
    <w:rsid w:val="00506BEB"/>
    <w:rsid w:val="005108CE"/>
    <w:rsid w:val="00510AF5"/>
    <w:rsid w:val="005110D5"/>
    <w:rsid w:val="00514858"/>
    <w:rsid w:val="00516ABF"/>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B5E78"/>
    <w:rsid w:val="006C25FA"/>
    <w:rsid w:val="006C2AF0"/>
    <w:rsid w:val="006C7E98"/>
    <w:rsid w:val="006D1FF0"/>
    <w:rsid w:val="006D3BB3"/>
    <w:rsid w:val="006E54A8"/>
    <w:rsid w:val="006E59AE"/>
    <w:rsid w:val="006E5E6C"/>
    <w:rsid w:val="006F74CB"/>
    <w:rsid w:val="006F7E88"/>
    <w:rsid w:val="007066AC"/>
    <w:rsid w:val="007112A9"/>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306B"/>
    <w:rsid w:val="007D4333"/>
    <w:rsid w:val="007D54F7"/>
    <w:rsid w:val="007D7510"/>
    <w:rsid w:val="007E1040"/>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6490"/>
    <w:rsid w:val="00870600"/>
    <w:rsid w:val="008802B2"/>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7E19"/>
    <w:rsid w:val="008F41FA"/>
    <w:rsid w:val="008F440B"/>
    <w:rsid w:val="008F6F02"/>
    <w:rsid w:val="00900DE5"/>
    <w:rsid w:val="00901557"/>
    <w:rsid w:val="0090241F"/>
    <w:rsid w:val="00907C7D"/>
    <w:rsid w:val="00910916"/>
    <w:rsid w:val="00912807"/>
    <w:rsid w:val="009178F0"/>
    <w:rsid w:val="009212A1"/>
    <w:rsid w:val="009316EC"/>
    <w:rsid w:val="009416A1"/>
    <w:rsid w:val="00942935"/>
    <w:rsid w:val="0094322F"/>
    <w:rsid w:val="00944BA2"/>
    <w:rsid w:val="009451AF"/>
    <w:rsid w:val="00950863"/>
    <w:rsid w:val="009521F1"/>
    <w:rsid w:val="00952DC0"/>
    <w:rsid w:val="00954EAB"/>
    <w:rsid w:val="00963E14"/>
    <w:rsid w:val="00964118"/>
    <w:rsid w:val="00964E50"/>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28F0"/>
    <w:rsid w:val="009C313A"/>
    <w:rsid w:val="009C7DF8"/>
    <w:rsid w:val="009D1539"/>
    <w:rsid w:val="009E17A3"/>
    <w:rsid w:val="009E216E"/>
    <w:rsid w:val="009E5651"/>
    <w:rsid w:val="009F1DEB"/>
    <w:rsid w:val="00A15F49"/>
    <w:rsid w:val="00A16E57"/>
    <w:rsid w:val="00A17E5C"/>
    <w:rsid w:val="00A24295"/>
    <w:rsid w:val="00A301E6"/>
    <w:rsid w:val="00A33712"/>
    <w:rsid w:val="00A35920"/>
    <w:rsid w:val="00A35E4C"/>
    <w:rsid w:val="00A42FAE"/>
    <w:rsid w:val="00A43EB5"/>
    <w:rsid w:val="00A511AB"/>
    <w:rsid w:val="00A52A09"/>
    <w:rsid w:val="00A57ED4"/>
    <w:rsid w:val="00A65018"/>
    <w:rsid w:val="00A73182"/>
    <w:rsid w:val="00A745E7"/>
    <w:rsid w:val="00A76ED5"/>
    <w:rsid w:val="00A82A5C"/>
    <w:rsid w:val="00A84BC4"/>
    <w:rsid w:val="00A85514"/>
    <w:rsid w:val="00A9429A"/>
    <w:rsid w:val="00A95EFB"/>
    <w:rsid w:val="00A95F87"/>
    <w:rsid w:val="00AA2258"/>
    <w:rsid w:val="00AA7AAE"/>
    <w:rsid w:val="00AB657A"/>
    <w:rsid w:val="00AB6F53"/>
    <w:rsid w:val="00AB7AFB"/>
    <w:rsid w:val="00AC1381"/>
    <w:rsid w:val="00AC37C4"/>
    <w:rsid w:val="00AC402C"/>
    <w:rsid w:val="00AC483E"/>
    <w:rsid w:val="00AD6463"/>
    <w:rsid w:val="00AE0606"/>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A24CD"/>
    <w:rsid w:val="00BA6F06"/>
    <w:rsid w:val="00BB0CA3"/>
    <w:rsid w:val="00BB0EAC"/>
    <w:rsid w:val="00BC2920"/>
    <w:rsid w:val="00BC2FE0"/>
    <w:rsid w:val="00BC50CF"/>
    <w:rsid w:val="00BD0E0E"/>
    <w:rsid w:val="00BD2747"/>
    <w:rsid w:val="00BD29FB"/>
    <w:rsid w:val="00BD2A92"/>
    <w:rsid w:val="00BE370D"/>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94FB0"/>
    <w:rsid w:val="00C97A12"/>
    <w:rsid w:val="00CA6F76"/>
    <w:rsid w:val="00CC0A2D"/>
    <w:rsid w:val="00CC0EA6"/>
    <w:rsid w:val="00CC4C6C"/>
    <w:rsid w:val="00CC7163"/>
    <w:rsid w:val="00CD370A"/>
    <w:rsid w:val="00CE5400"/>
    <w:rsid w:val="00CE65D9"/>
    <w:rsid w:val="00CF0772"/>
    <w:rsid w:val="00CF14FE"/>
    <w:rsid w:val="00CF3494"/>
    <w:rsid w:val="00CF75C6"/>
    <w:rsid w:val="00D01B51"/>
    <w:rsid w:val="00D051F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4357"/>
    <w:rsid w:val="00DE5245"/>
    <w:rsid w:val="00DE736F"/>
    <w:rsid w:val="00DF2769"/>
    <w:rsid w:val="00DF5B83"/>
    <w:rsid w:val="00DF66E2"/>
    <w:rsid w:val="00E0021B"/>
    <w:rsid w:val="00E0756C"/>
    <w:rsid w:val="00E1365F"/>
    <w:rsid w:val="00E208BB"/>
    <w:rsid w:val="00E24284"/>
    <w:rsid w:val="00E26B9B"/>
    <w:rsid w:val="00E27537"/>
    <w:rsid w:val="00E27C1B"/>
    <w:rsid w:val="00E31A64"/>
    <w:rsid w:val="00E34AC6"/>
    <w:rsid w:val="00E3609B"/>
    <w:rsid w:val="00E37682"/>
    <w:rsid w:val="00E40D5B"/>
    <w:rsid w:val="00E43919"/>
    <w:rsid w:val="00E61E58"/>
    <w:rsid w:val="00E65BA6"/>
    <w:rsid w:val="00E678E7"/>
    <w:rsid w:val="00E72182"/>
    <w:rsid w:val="00E723D7"/>
    <w:rsid w:val="00E870D3"/>
    <w:rsid w:val="00EA25F8"/>
    <w:rsid w:val="00EA30B0"/>
    <w:rsid w:val="00EA3BBC"/>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17DA8"/>
    <w:rsid w:val="00F17F42"/>
    <w:rsid w:val="00F215F8"/>
    <w:rsid w:val="00F24F0B"/>
    <w:rsid w:val="00F277A2"/>
    <w:rsid w:val="00F33EB8"/>
    <w:rsid w:val="00F359D9"/>
    <w:rsid w:val="00F3750A"/>
    <w:rsid w:val="00F405D8"/>
    <w:rsid w:val="00F4150C"/>
    <w:rsid w:val="00F517FB"/>
    <w:rsid w:val="00F53D12"/>
    <w:rsid w:val="00F55A25"/>
    <w:rsid w:val="00F55A47"/>
    <w:rsid w:val="00F56E7F"/>
    <w:rsid w:val="00F60731"/>
    <w:rsid w:val="00F65767"/>
    <w:rsid w:val="00F72F3F"/>
    <w:rsid w:val="00F74D45"/>
    <w:rsid w:val="00F751B5"/>
    <w:rsid w:val="00F75213"/>
    <w:rsid w:val="00F76314"/>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558F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D552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D552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00000001" w:usb1="5000200A" w:usb2="00000000" w:usb3="00000000" w:csb0="00000093" w:csb1="00000000"/>
  </w:font>
  <w:font w:name="Juhl">
    <w:altName w:val="Times New Roman"/>
    <w:panose1 w:val="00000000000000000000"/>
    <w:charset w:val="00"/>
    <w:family w:val="modern"/>
    <w:notTrueType/>
    <w:pitch w:val="variable"/>
    <w:sig w:usb0="00000001" w:usb1="4000204A" w:usb2="00000000" w:usb3="00000000" w:csb0="00000093" w:csb1="00000000"/>
  </w:font>
  <w:font w:name="Juhl Bold">
    <w:altName w:val="Times New Roman"/>
    <w:panose1 w:val="00000000000000000000"/>
    <w:charset w:val="00"/>
    <w:family w:val="modern"/>
    <w:notTrueType/>
    <w:pitch w:val="variable"/>
    <w:sig w:usb0="00000001" w:usb1="4000204A" w:usb2="00000000" w:usb3="00000000" w:csb0="00000093" w:csb1="00000000"/>
  </w:font>
  <w:font w:name="TheSansB W5 Plain">
    <w:altName w:val="Bahnschrift Light"/>
    <w:panose1 w:val="00000000000000000000"/>
    <w:charset w:val="00"/>
    <w:family w:val="swiss"/>
    <w:notTrueType/>
    <w:pitch w:val="variable"/>
    <w:sig w:usb0="00000001" w:usb1="5000200A" w:usb2="00000000" w:usb3="00000000" w:csb0="00000093" w:csb1="00000000"/>
  </w:font>
  <w:font w:name="TheSansB W6 SemiBold">
    <w:altName w:val="Lucida Sans Unicode"/>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86"/>
    <w:rsid w:val="000062F7"/>
    <w:rsid w:val="001D5FA6"/>
    <w:rsid w:val="002B1E74"/>
    <w:rsid w:val="00353C86"/>
    <w:rsid w:val="00504C21"/>
    <w:rsid w:val="00520D6B"/>
    <w:rsid w:val="00AF1EAE"/>
    <w:rsid w:val="00CC7D7A"/>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7208-C087-468F-AD2E-768EFA7A1BC2}">
  <ds:schemaRefs>
    <ds:schemaRef ds:uri="http://schemas.microsoft.com/sharepoint/v3/contenttype/forms"/>
  </ds:schemaRefs>
</ds:datastoreItem>
</file>

<file path=customXml/itemProps2.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24450E26-3DBB-4F34-BE5D-6A9626A6E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CE64D-39B1-4C1A-A3E5-D77CEEDD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9</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Dealing with Medical Conditions</vt:lpstr>
    </vt:vector>
  </TitlesOfParts>
  <Company>Flinders Preschool Inc.</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Sarah Noble</cp:lastModifiedBy>
  <cp:revision>2</cp:revision>
  <dcterms:created xsi:type="dcterms:W3CDTF">2023-04-26T05:05:00Z</dcterms:created>
  <dcterms:modified xsi:type="dcterms:W3CDTF">2023-04-26T05:05:00Z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