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6337" w14:textId="77777777" w:rsidR="004E6BFE" w:rsidRDefault="002E0291" w:rsidP="00502982">
      <w:pPr>
        <w:pStyle w:val="DisclaimerText"/>
      </w:pPr>
      <w:r>
        <w:rPr>
          <w:noProof/>
          <w:lang w:eastAsia="en-AU"/>
        </w:rPr>
        <w:drawing>
          <wp:anchor distT="0" distB="0" distL="114300" distR="114300" simplePos="0" relativeHeight="251679744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>obtaining written authorisation from a parent/guardian or person authorised and named in the enrolment record</w:t>
      </w:r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  <w:lang w:eastAsia="en-AU"/>
        </w:rPr>
        <w:drawing>
          <wp:anchor distT="0" distB="0" distL="114300" distR="114300" simplePos="0" relativeHeight="251681792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33FE5B8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2O8gEAADI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2C91D5CF" w:rsidR="00A95F87" w:rsidRDefault="004906AE" w:rsidP="00502982">
      <w:pPr>
        <w:pStyle w:val="BODYTEXTELAA"/>
      </w:pPr>
      <w:sdt>
        <w:sdt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83E1B">
            <w:t>Flinders Preschool</w:t>
          </w:r>
        </w:sdtContent>
      </w:sdt>
      <w:r w:rsidR="00CF503D">
        <w:t xml:space="preserve"> </w:t>
      </w:r>
      <w:r w:rsidR="00CF503D" w:rsidRPr="00CF503D">
        <w:t>is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694C31EB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83E1B">
            <w:t>Flinders Preschool</w:t>
          </w:r>
        </w:sdtContent>
      </w:sdt>
      <w:r w:rsidR="00CF503D"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732A106" wp14:editId="4775C04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EFC79BD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t xml:space="preserve">Ensuring the </w:t>
            </w:r>
            <w:r w:rsidR="00AD0ED7" w:rsidRPr="00AD0ED7">
              <w:t>authorisations are kept up-to-date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lastRenderedPageBreak/>
              <w:t>(refer to Enrolment and Orientation Policy</w:t>
            </w:r>
            <w:r w:rsidR="00A27E4A" w:rsidRPr="00A27E4A">
              <w:t xml:space="preserve">), and that the form is 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lastRenderedPageBreak/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signed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>(refer to Administration of Medication Policy, Dealing with Medical Conditions Policy, Incident, Injury, Trauma and Illness Policy, Emergency and Evacuation Policy, Asthma Policy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</w:t>
            </w:r>
            <w:r w:rsidRPr="003670C6">
              <w:lastRenderedPageBreak/>
              <w:t xml:space="preserve">written authorisation of one of these, except in the case of a medical or other emergency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lastRenderedPageBreak/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child</w:t>
            </w:r>
            <w:r w:rsidR="00EB3E9F" w:rsidRPr="009D73DB">
              <w:t>, and keeping a copy of 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>does not appear to be fit to take the child</w:t>
            </w:r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705344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CEC5E9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>Procedures for refusing a written authorisation</w:t>
      </w:r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lastRenderedPageBreak/>
        <w:t>immediately explain to the parent/guardian that their written authorisation contravenes service policy, and that it cannot be accepted</w:t>
      </w:r>
    </w:p>
    <w:p w14:paraId="33561CD8" w14:textId="77777777" w:rsidR="00A4365B" w:rsidRDefault="00A4365B" w:rsidP="00BE1AE3">
      <w:pPr>
        <w:pStyle w:val="BodyTextBullet1"/>
      </w:pPr>
      <w:r>
        <w:t>ensure that the parent/guardian is provided with a copy of the relevant service policy and that they understand the reasons for the refusal of the authorisation</w:t>
      </w:r>
    </w:p>
    <w:p w14:paraId="099D546D" w14:textId="77777777" w:rsidR="00A4365B" w:rsidRDefault="00A4365B" w:rsidP="00BE1AE3">
      <w:pPr>
        <w:pStyle w:val="BodyTextBullet1"/>
      </w:pPr>
      <w:r>
        <w:t>request that an appropriate alternative written authorisation is provided by the parent/guardian that complies with the requirements of the relevant service policy</w:t>
      </w:r>
    </w:p>
    <w:p w14:paraId="73BC97C9" w14:textId="77777777" w:rsidR="00A4365B" w:rsidRDefault="00A4365B" w:rsidP="00BE1AE3">
      <w:pPr>
        <w:pStyle w:val="BodyTextBullet1"/>
      </w:pPr>
      <w:r>
        <w:t>ensure that procedures outlined in the relevant service policy are followed where a parent/guardian cannot be immediately contacted to provide an alternative written authorisation</w:t>
      </w:r>
    </w:p>
    <w:p w14:paraId="2517F115" w14:textId="77777777" w:rsidR="00A4365B" w:rsidRDefault="00A4365B" w:rsidP="00BE1AE3">
      <w:pPr>
        <w:pStyle w:val="BodyTextBullet1"/>
      </w:pPr>
      <w:r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89984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7526D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jC8w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wellbeing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2F95CF00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 xml:space="preserve">rovider may adopt a policy position accepting authorisations for persons over the age of 16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In the event that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lastRenderedPageBreak/>
        <w:t>Family Law Act 1975 (Cth)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820765" id="Text Box 2" o:spid="_x0000_s1026" style="position:absolute;left:0;text-align:left;margin-left:68.85pt;margin-top:28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20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21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3E566F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Ky8Q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  <w:lang w:eastAsia="en-AU"/>
        </w:rPr>
        <w:drawing>
          <wp:anchor distT="0" distB="0" distL="114300" distR="114300" simplePos="0" relativeHeight="251692032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e.g.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514F6E9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7L8A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4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>Incident, Injury, Trauma and Illness</w:t>
      </w:r>
    </w:p>
    <w:p w14:paraId="2370D25C" w14:textId="0D2CA38A" w:rsidR="00381311" w:rsidRDefault="00381311" w:rsidP="004D3C71">
      <w:pPr>
        <w:pStyle w:val="BodyTextBullet1"/>
      </w:pPr>
      <w:r w:rsidRPr="00381311">
        <w:t>Nutrition, Oral Health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CCED75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  <w:lang w:eastAsia="en-AU"/>
        </w:rPr>
        <w:drawing>
          <wp:anchor distT="0" distB="0" distL="114300" distR="114300" simplePos="0" relativeHeight="251696128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>regularly seek feedback from everyone affected by the policy regarding its effectiveness</w:t>
      </w:r>
    </w:p>
    <w:p w14:paraId="38C241CB" w14:textId="77777777" w:rsidR="00017F6A" w:rsidRDefault="00017F6A" w:rsidP="00017F6A">
      <w:pPr>
        <w:pStyle w:val="BodyTextBullet1"/>
      </w:pPr>
      <w:r>
        <w:t>monitor the implementation, compliance, complaints and incidents in relation to this policy</w:t>
      </w:r>
    </w:p>
    <w:p w14:paraId="0F62CAE9" w14:textId="77777777" w:rsidR="00017F6A" w:rsidRDefault="00017F6A" w:rsidP="00017F6A">
      <w:pPr>
        <w:pStyle w:val="BodyTextBullet1"/>
      </w:pPr>
      <w:r>
        <w:t>keep the policy up to date with current legislation, research, policy and best practice</w:t>
      </w:r>
    </w:p>
    <w:p w14:paraId="5C0F0F08" w14:textId="77777777" w:rsidR="00017F6A" w:rsidRDefault="00017F6A" w:rsidP="00017F6A">
      <w:pPr>
        <w:pStyle w:val="BodyTextBullet1"/>
      </w:pPr>
      <w:r>
        <w:t>revise the policy and procedures as part of the service’s policy review cycle, or as required</w:t>
      </w:r>
    </w:p>
    <w:p w14:paraId="3C702E70" w14:textId="2269FB7E" w:rsidR="00765382" w:rsidRDefault="00CF3494" w:rsidP="00CF3494">
      <w:pPr>
        <w:pStyle w:val="BodyTextBullet1"/>
      </w:pPr>
      <w:r w:rsidRPr="00CF3494">
        <w:lastRenderedPageBreak/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98176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E28B92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0i8wEAADQ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21635933" w:rsidR="00586C37" w:rsidRPr="00586C37" w:rsidRDefault="00BE1AE3" w:rsidP="00586C37">
      <w:pPr>
        <w:pStyle w:val="BodyTextBullet1"/>
      </w:pPr>
      <w:r>
        <w:t>Nil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F04E9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  <w:lang w:eastAsia="en-AU"/>
        </w:rPr>
        <w:drawing>
          <wp:anchor distT="0" distB="0" distL="114300" distR="114300" simplePos="0" relativeHeight="251700224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73FDD7B4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83E1B">
            <w:t>Flinders Preschool</w:t>
          </w:r>
        </w:sdtContent>
      </w:sdt>
      <w:r w:rsidR="00083E1B">
        <w:t xml:space="preserve"> on 13 September 2022.</w:t>
      </w:r>
    </w:p>
    <w:p w14:paraId="67E389D3" w14:textId="0F502EA7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 w:rsidR="00083E1B">
        <w:t xml:space="preserve"> September 2023.</w:t>
      </w:r>
    </w:p>
    <w:p w14:paraId="1F2B40F1" w14:textId="77777777" w:rsidR="007B399F" w:rsidRDefault="007B399F" w:rsidP="00502982">
      <w:pPr>
        <w:pStyle w:val="BODYTEXTELAA"/>
      </w:pPr>
      <w:bookmarkStart w:id="5" w:name="_GoBack"/>
      <w:bookmarkEnd w:id="5"/>
    </w:p>
    <w:sectPr w:rsidR="007B399F" w:rsidSect="002B33C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AB30" w14:textId="77777777" w:rsidR="004906AE" w:rsidRDefault="004906AE" w:rsidP="004B56A8">
      <w:r>
        <w:separator/>
      </w:r>
    </w:p>
  </w:endnote>
  <w:endnote w:type="continuationSeparator" w:id="0">
    <w:p w14:paraId="1F8EA4BB" w14:textId="77777777" w:rsidR="004906AE" w:rsidRDefault="004906AE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A708" w14:textId="7BD62790" w:rsidR="00CC5A91" w:rsidRDefault="00BA03AB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5355A6" wp14:editId="191F2B67">
              <wp:simplePos x="0" y="0"/>
              <wp:positionH relativeFrom="column">
                <wp:posOffset>835025</wp:posOffset>
              </wp:positionH>
              <wp:positionV relativeFrom="paragraph">
                <wp:posOffset>-102235</wp:posOffset>
              </wp:positionV>
              <wp:extent cx="3816350" cy="1404620"/>
              <wp:effectExtent l="0" t="0" r="0" b="381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37C68D" w14:textId="4E86E9A0" w:rsidR="00DD71D1" w:rsidRDefault="004906AE" w:rsidP="00DD71D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179790298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56473">
                                <w:rPr>
                                  <w:b/>
                                </w:rPr>
                                <w:t>Acceptance &amp; Refusal of Authorisations</w:t>
                              </w:r>
                            </w:sdtContent>
                          </w:sdt>
                          <w:r w:rsidR="00DD71D1">
                            <w:rPr>
                              <w:b/>
                            </w:rPr>
                            <w:t xml:space="preserve"> | </w:t>
                          </w:r>
                          <w:r w:rsidR="00DD71D1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DD71D1">
                            <w:rPr>
                              <w:rStyle w:val="FooterChar"/>
                            </w:rPr>
                            <w:fldChar w:fldCharType="begin"/>
                          </w:r>
                          <w:r w:rsidR="00DD71D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DD71D1">
                            <w:rPr>
                              <w:rStyle w:val="FooterChar"/>
                            </w:rPr>
                            <w:fldChar w:fldCharType="separate"/>
                          </w:r>
                          <w:r w:rsidR="00083E1B">
                            <w:rPr>
                              <w:rStyle w:val="FooterChar"/>
                              <w:noProof/>
                            </w:rPr>
                            <w:t>September 22</w:t>
                          </w:r>
                          <w:r w:rsidR="00DD71D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09264D7" w14:textId="79F1F5B7" w:rsidR="00CC241E" w:rsidRDefault="00CC241E" w:rsidP="00DD71D1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355A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5.75pt;margin-top:-8.05pt;width:30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" stroked="f">
              <v:textbox style="mso-fit-shape-to-text:t">
                <w:txbxContent>
                  <w:p w14:paraId="0E37C68D" w14:textId="4E86E9A0" w:rsidR="00DD71D1" w:rsidRDefault="004906AE" w:rsidP="00DD71D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179790298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56473">
                          <w:rPr>
                            <w:b/>
                          </w:rPr>
                          <w:t>Acceptance &amp; Refusal of Authorisations</w:t>
                        </w:r>
                      </w:sdtContent>
                    </w:sdt>
                    <w:r w:rsidR="00DD71D1">
                      <w:rPr>
                        <w:b/>
                      </w:rPr>
                      <w:t xml:space="preserve"> | </w:t>
                    </w:r>
                    <w:r w:rsidR="00DD71D1" w:rsidRPr="00C57352">
                      <w:rPr>
                        <w:rStyle w:val="FooterChar"/>
                      </w:rPr>
                      <w:t xml:space="preserve">Date Reviewed </w:t>
                    </w:r>
                    <w:r w:rsidR="00DD71D1">
                      <w:rPr>
                        <w:rStyle w:val="FooterChar"/>
                      </w:rPr>
                      <w:fldChar w:fldCharType="begin"/>
                    </w:r>
                    <w:r w:rsidR="00DD71D1">
                      <w:rPr>
                        <w:rStyle w:val="FooterChar"/>
                      </w:rPr>
                      <w:instrText xml:space="preserve"> DATE \@ "MMMM yy" </w:instrText>
                    </w:r>
                    <w:r w:rsidR="00DD71D1">
                      <w:rPr>
                        <w:rStyle w:val="FooterChar"/>
                      </w:rPr>
                      <w:fldChar w:fldCharType="separate"/>
                    </w:r>
                    <w:r w:rsidR="00083E1B">
                      <w:rPr>
                        <w:rStyle w:val="FooterChar"/>
                        <w:noProof/>
                      </w:rPr>
                      <w:t>September 22</w:t>
                    </w:r>
                    <w:r w:rsidR="00DD71D1">
                      <w:rPr>
                        <w:rStyle w:val="FooterChar"/>
                      </w:rPr>
                      <w:fldChar w:fldCharType="end"/>
                    </w:r>
                  </w:p>
                  <w:p w14:paraId="509264D7" w14:textId="79F1F5B7" w:rsidR="00CC241E" w:rsidRDefault="00CC241E" w:rsidP="00DD71D1">
                    <w:pPr>
                      <w:pStyle w:val="Footer"/>
                    </w:pP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083E1B">
              <w:rPr>
                <w:b/>
                <w:bCs/>
                <w:noProof/>
              </w:rPr>
              <w:t>6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083E1B">
              <w:rPr>
                <w:b/>
                <w:bCs/>
                <w:noProof/>
              </w:rPr>
              <w:t>6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0C372EC" w14:textId="484AD701" w:rsidR="006D1E81" w:rsidRDefault="006D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20D6E70" w14:textId="5DCD50B2" w:rsidR="00F279F0" w:rsidRDefault="00866222">
            <w:pPr>
              <w:pStyle w:val="Footer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EA66411" wp14:editId="38CDD04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-46355</wp:posOffset>
                      </wp:positionV>
                      <wp:extent cx="3910965" cy="1404620"/>
                      <wp:effectExtent l="0" t="0" r="0" b="3810"/>
                      <wp:wrapSquare wrapText="bothSides"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096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097317" w14:textId="0E0366A4" w:rsidR="00720671" w:rsidRDefault="004906AE" w:rsidP="00720671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2139641426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C56473">
                                        <w:rPr>
                                          <w:b/>
                                        </w:rPr>
                                        <w:t>Acceptance &amp; Refusal of Authorisations</w:t>
                                      </w:r>
                                    </w:sdtContent>
                                  </w:sdt>
                                  <w:r w:rsidR="00720671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720671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083E1B">
                                    <w:rPr>
                                      <w:rStyle w:val="FooterChar"/>
                                      <w:noProof/>
                                    </w:rPr>
                                    <w:t>September 22</w:t>
                                  </w:r>
                                  <w:r w:rsidR="00720671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7B5A6965" w14:textId="14BBD163" w:rsidR="005F44B5" w:rsidRDefault="005F44B5" w:rsidP="00825B41">
                                  <w:pPr>
                                    <w:pStyle w:val="Foo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A66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55.25pt;margin-top:-3.65pt;width:307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" stroked="f">
                      <v:textbox style="mso-fit-shape-to-text:t">
                        <w:txbxContent>
                          <w:p w14:paraId="62097317" w14:textId="0E0366A4" w:rsidR="00720671" w:rsidRDefault="004906AE" w:rsidP="00720671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213964142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56473">
                                  <w:rPr>
                                    <w:b/>
                                  </w:rPr>
                                  <w:t>Acceptance &amp; Refusal of Authorisations</w:t>
                                </w:r>
                              </w:sdtContent>
                            </w:sdt>
                            <w:r w:rsidR="00720671">
                              <w:rPr>
                                <w:b/>
                              </w:rPr>
                              <w:t xml:space="preserve"> | </w:t>
                            </w:r>
                            <w:r w:rsidR="00720671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720671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083E1B">
                              <w:rPr>
                                <w:rStyle w:val="FooterChar"/>
                                <w:noProof/>
                              </w:rPr>
                              <w:t>September 22</w:t>
                            </w:r>
                            <w:r w:rsidR="00720671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7B5A6965" w14:textId="14BBD163" w:rsidR="005F44B5" w:rsidRDefault="005F44B5" w:rsidP="00825B41">
                            <w:pPr>
                              <w:pStyle w:val="Foo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79F0">
              <w:t xml:space="preserve">Page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PAGE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083E1B">
              <w:rPr>
                <w:b/>
                <w:bCs/>
                <w:noProof/>
              </w:rPr>
              <w:t>1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  <w:r w:rsidR="00F279F0">
              <w:t xml:space="preserve"> of </w:t>
            </w:r>
            <w:r w:rsidR="00F279F0">
              <w:rPr>
                <w:b/>
                <w:bCs/>
                <w:sz w:val="24"/>
                <w:szCs w:val="24"/>
              </w:rPr>
              <w:fldChar w:fldCharType="begin"/>
            </w:r>
            <w:r w:rsidR="00F279F0">
              <w:rPr>
                <w:b/>
                <w:bCs/>
              </w:rPr>
              <w:instrText xml:space="preserve"> NUMPAGES  </w:instrText>
            </w:r>
            <w:r w:rsidR="00F279F0">
              <w:rPr>
                <w:b/>
                <w:bCs/>
                <w:sz w:val="24"/>
                <w:szCs w:val="24"/>
              </w:rPr>
              <w:fldChar w:fldCharType="separate"/>
            </w:r>
            <w:r w:rsidR="00083E1B">
              <w:rPr>
                <w:b/>
                <w:bCs/>
                <w:noProof/>
              </w:rPr>
              <w:t>6</w:t>
            </w:r>
            <w:r w:rsidR="00F279F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7B3096" w14:textId="44C2ABBD" w:rsidR="00B36852" w:rsidRDefault="00B3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AAF42" w14:textId="77777777" w:rsidR="004906AE" w:rsidRDefault="004906AE" w:rsidP="004B56A8">
      <w:r>
        <w:separator/>
      </w:r>
    </w:p>
  </w:footnote>
  <w:footnote w:type="continuationSeparator" w:id="0">
    <w:p w14:paraId="67ED52BF" w14:textId="77777777" w:rsidR="004906AE" w:rsidRDefault="004906AE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A29" w14:textId="101A4B3F" w:rsidR="00B36852" w:rsidRDefault="0030173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BC55739" wp14:editId="3CB00D69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536D5" w14:textId="1C81DFDF" w:rsidR="009B3CF1" w:rsidRDefault="00AA6A81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607B92" wp14:editId="376723FA">
              <wp:simplePos x="0" y="0"/>
              <wp:positionH relativeFrom="margin">
                <wp:align>right</wp:align>
              </wp:positionH>
              <wp:positionV relativeFrom="paragraph">
                <wp:posOffset>361950</wp:posOffset>
              </wp:positionV>
              <wp:extent cx="6505575" cy="1404620"/>
              <wp:effectExtent l="0" t="0" r="9525" b="0"/>
              <wp:wrapTopAndBottom/>
              <wp:docPr id="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5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235D5" w14:textId="346E41BA" w:rsidR="00083E1B" w:rsidRDefault="00AA6A81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bookmarkStart w:id="6" w:name="page12"/>
                          <w:r w:rsidRPr="00A86B73">
                            <w:rPr>
                              <w:lang w:val="en-US"/>
                            </w:rPr>
                            <w:t>Acceptance and Refusal of</w:t>
                          </w:r>
                          <w:r w:rsidR="00083E1B">
                            <w:rPr>
                              <w:lang w:val="en-US"/>
                            </w:rPr>
                            <w:tab/>
                          </w:r>
                          <w:r w:rsidR="00083E1B">
                            <w:rPr>
                              <w:lang w:val="en-US"/>
                            </w:rPr>
                            <w:tab/>
                          </w:r>
                          <w:r w:rsidR="00083E1B">
                            <w:rPr>
                              <w:lang w:val="en-US"/>
                            </w:rPr>
                            <w:tab/>
                          </w:r>
                          <w:r w:rsidR="00083E1B">
                            <w:rPr>
                              <w:lang w:val="en-US"/>
                            </w:rPr>
                            <w:tab/>
                          </w:r>
                          <w:r w:rsidR="00083E1B">
                            <w:rPr>
                              <w:lang w:val="en-US"/>
                            </w:rPr>
                            <w:tab/>
                          </w:r>
                          <w:r w:rsidRPr="00A86B73">
                            <w:rPr>
                              <w:lang w:val="en-US"/>
                            </w:rPr>
                            <w:t xml:space="preserve"> </w:t>
                          </w:r>
                          <w:bookmarkEnd w:id="6"/>
                          <w:r w:rsidR="00083E1B" w:rsidRPr="00C14DD9"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3A1C0078" wp14:editId="5F4ACCBD">
                                <wp:extent cx="571500" cy="746637"/>
                                <wp:effectExtent l="0" t="0" r="0" b="0"/>
                                <wp:docPr id="4" name="Picture 4" descr="C:\Users\CL_SNoble\Desktop\flinder imag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L_SNoble\Desktop\flinder imag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286" cy="7515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32AAE3" w14:textId="70F66414" w:rsidR="00AA6A81" w:rsidRPr="00A86B73" w:rsidRDefault="00083E1B" w:rsidP="002B6439">
                          <w:pPr>
                            <w:pStyle w:val="Title"/>
                            <w:rPr>
                              <w:lang w:val="en-US"/>
                            </w:rPr>
                          </w:pPr>
                          <w:r w:rsidRPr="00A86B73">
                            <w:rPr>
                              <w:lang w:val="en-US"/>
                            </w:rPr>
                            <w:t>Authorisations</w:t>
                          </w:r>
                          <w:r w:rsidRPr="00C14DD9">
                            <w:rPr>
                              <w:noProof/>
                              <w:lang w:eastAsia="en-AU"/>
                            </w:rPr>
                            <w:t xml:space="preserve"> </w:t>
                          </w:r>
                        </w:p>
                        <w:p w14:paraId="75D27FC8" w14:textId="7440F45E" w:rsidR="00AA6A81" w:rsidRPr="004B56A8" w:rsidRDefault="00AA6A81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A36F29">
                            <w:t>2</w:t>
                          </w:r>
                          <w:r>
                            <w:t xml:space="preserve">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07B9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1.05pt;margin-top:28.5pt;width:512.2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" stroked="f">
              <v:textbox style="mso-fit-shape-to-text:t">
                <w:txbxContent>
                  <w:p w14:paraId="26C235D5" w14:textId="346E41BA" w:rsidR="00083E1B" w:rsidRDefault="00AA6A81" w:rsidP="002B6439">
                    <w:pPr>
                      <w:pStyle w:val="Title"/>
                      <w:rPr>
                        <w:lang w:val="en-US"/>
                      </w:rPr>
                    </w:pPr>
                    <w:bookmarkStart w:id="7" w:name="page12"/>
                    <w:r w:rsidRPr="00A86B73">
                      <w:rPr>
                        <w:lang w:val="en-US"/>
                      </w:rPr>
                      <w:t>Acceptance and Refusal of</w:t>
                    </w:r>
                    <w:r w:rsidR="00083E1B">
                      <w:rPr>
                        <w:lang w:val="en-US"/>
                      </w:rPr>
                      <w:tab/>
                    </w:r>
                    <w:r w:rsidR="00083E1B">
                      <w:rPr>
                        <w:lang w:val="en-US"/>
                      </w:rPr>
                      <w:tab/>
                    </w:r>
                    <w:r w:rsidR="00083E1B">
                      <w:rPr>
                        <w:lang w:val="en-US"/>
                      </w:rPr>
                      <w:tab/>
                    </w:r>
                    <w:r w:rsidR="00083E1B">
                      <w:rPr>
                        <w:lang w:val="en-US"/>
                      </w:rPr>
                      <w:tab/>
                    </w:r>
                    <w:r w:rsidR="00083E1B">
                      <w:rPr>
                        <w:lang w:val="en-US"/>
                      </w:rPr>
                      <w:tab/>
                    </w:r>
                    <w:r w:rsidRPr="00A86B73">
                      <w:rPr>
                        <w:lang w:val="en-US"/>
                      </w:rPr>
                      <w:t xml:space="preserve"> </w:t>
                    </w:r>
                    <w:bookmarkEnd w:id="7"/>
                    <w:r w:rsidR="00083E1B" w:rsidRPr="00C14DD9">
                      <w:rPr>
                        <w:noProof/>
                        <w:lang w:eastAsia="en-AU"/>
                      </w:rPr>
                      <w:drawing>
                        <wp:inline distT="0" distB="0" distL="0" distR="0" wp14:anchorId="3A1C0078" wp14:editId="5F4ACCBD">
                          <wp:extent cx="571500" cy="746637"/>
                          <wp:effectExtent l="0" t="0" r="0" b="0"/>
                          <wp:docPr id="4" name="Picture 4" descr="C:\Users\CL_SNoble\Desktop\flinder imag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L_SNoble\Desktop\flinder imag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5286" cy="7515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32AAE3" w14:textId="70F66414" w:rsidR="00AA6A81" w:rsidRPr="00A86B73" w:rsidRDefault="00083E1B" w:rsidP="002B6439">
                    <w:pPr>
                      <w:pStyle w:val="Title"/>
                      <w:rPr>
                        <w:lang w:val="en-US"/>
                      </w:rPr>
                    </w:pPr>
                    <w:r w:rsidRPr="00A86B73">
                      <w:rPr>
                        <w:lang w:val="en-US"/>
                      </w:rPr>
                      <w:t>Authorisations</w:t>
                    </w:r>
                    <w:r w:rsidRPr="00C14DD9">
                      <w:rPr>
                        <w:noProof/>
                        <w:lang w:eastAsia="en-AU"/>
                      </w:rPr>
                      <w:t xml:space="preserve"> </w:t>
                    </w:r>
                  </w:p>
                  <w:p w14:paraId="75D27FC8" w14:textId="7440F45E" w:rsidR="00AA6A81" w:rsidRPr="004B56A8" w:rsidRDefault="00AA6A81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A36F29">
                      <w:t>2</w:t>
                    </w:r>
                    <w:r>
                      <w:t xml:space="preserve">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7"/>
    <w:rsid w:val="00000EE9"/>
    <w:rsid w:val="00002603"/>
    <w:rsid w:val="00002B77"/>
    <w:rsid w:val="00003376"/>
    <w:rsid w:val="00010D33"/>
    <w:rsid w:val="00017F6A"/>
    <w:rsid w:val="00024016"/>
    <w:rsid w:val="00030EEA"/>
    <w:rsid w:val="000313F1"/>
    <w:rsid w:val="00032B79"/>
    <w:rsid w:val="00040121"/>
    <w:rsid w:val="0004023A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83E1B"/>
    <w:rsid w:val="00092628"/>
    <w:rsid w:val="000957BD"/>
    <w:rsid w:val="000A6334"/>
    <w:rsid w:val="000B034A"/>
    <w:rsid w:val="000B2B67"/>
    <w:rsid w:val="000B4FE3"/>
    <w:rsid w:val="000C25C3"/>
    <w:rsid w:val="000C2B63"/>
    <w:rsid w:val="000C5FAE"/>
    <w:rsid w:val="000D43F4"/>
    <w:rsid w:val="000E3DAE"/>
    <w:rsid w:val="000F5244"/>
    <w:rsid w:val="000F68D2"/>
    <w:rsid w:val="00103145"/>
    <w:rsid w:val="00103CE8"/>
    <w:rsid w:val="00107D74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21FEA"/>
    <w:rsid w:val="00226796"/>
    <w:rsid w:val="00226A9C"/>
    <w:rsid w:val="00231A33"/>
    <w:rsid w:val="00236D18"/>
    <w:rsid w:val="002417D1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06AE"/>
    <w:rsid w:val="00493D04"/>
    <w:rsid w:val="004A672E"/>
    <w:rsid w:val="004A7F24"/>
    <w:rsid w:val="004B06F2"/>
    <w:rsid w:val="004B56A8"/>
    <w:rsid w:val="004B7E21"/>
    <w:rsid w:val="004C5661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A529E"/>
    <w:rsid w:val="005A5A1B"/>
    <w:rsid w:val="005C5420"/>
    <w:rsid w:val="005C6D0B"/>
    <w:rsid w:val="005C78F2"/>
    <w:rsid w:val="005D3B4A"/>
    <w:rsid w:val="005D3FF5"/>
    <w:rsid w:val="005E0379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F162E"/>
    <w:rsid w:val="007F2A2A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6F53"/>
    <w:rsid w:val="00AB7AFB"/>
    <w:rsid w:val="00AC37C4"/>
    <w:rsid w:val="00AC402C"/>
    <w:rsid w:val="00AC483E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75C6"/>
    <w:rsid w:val="00D05CEC"/>
    <w:rsid w:val="00D146A5"/>
    <w:rsid w:val="00D213D1"/>
    <w:rsid w:val="00D21626"/>
    <w:rsid w:val="00D22205"/>
    <w:rsid w:val="00D22CE7"/>
    <w:rsid w:val="00D2401F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://www.legislation.vic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cecqa.gov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D"/>
    <w:rsid w:val="001A4046"/>
    <w:rsid w:val="003636B0"/>
    <w:rsid w:val="00676CDE"/>
    <w:rsid w:val="0068731E"/>
    <w:rsid w:val="0074713A"/>
    <w:rsid w:val="008B08CF"/>
    <w:rsid w:val="00915693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EC9CB-49A7-467B-88A7-2F0C4BE8E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228CBB-2890-4818-8333-2352B971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D6A9B-1219-4DD6-B73E-3D0DE58A7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0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Flinders Preschool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Sarah Noble</cp:lastModifiedBy>
  <cp:revision>2</cp:revision>
  <dcterms:created xsi:type="dcterms:W3CDTF">2022-09-13T04:24:00Z</dcterms:created>
  <dcterms:modified xsi:type="dcterms:W3CDTF">2022-09-13T04:24:00Z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100000</vt:r8>
  </property>
</Properties>
</file>